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40"/>
      </w:pPr>
      <w:r>
        <w:rPr>
          <w:rFonts w:ascii="Calibri" w:hAnsi="Calibri"/>
          <w:b/>
          <w:i w:val="0"/>
          <w:color w:val="2C7A7B"/>
          <w:sz w:val="19"/>
        </w:rPr>
        <w:t>COMPANION TOOLKIT  ·  FOR GRADUATE FACULTY</w:t>
      </w:r>
    </w:p>
    <w:p>
      <w:pPr>
        <w:spacing w:after="40"/>
      </w:pPr>
      <w:r>
        <w:rPr>
          <w:rFonts w:ascii="Calibri" w:hAnsi="Calibri"/>
          <w:b/>
          <w:i w:val="0"/>
          <w:color w:val="1F3A5F"/>
          <w:sz w:val="52"/>
        </w:rPr>
        <w:t>Syllabus Integration Toolkit</w:t>
      </w:r>
    </w:p>
    <w:p>
      <w:pPr>
        <w:spacing w:after="40"/>
      </w:pPr>
      <w:r>
        <w:rPr>
          <w:rFonts w:ascii="Calibri" w:hAnsi="Calibri"/>
          <w:b/>
          <w:i w:val="0"/>
          <w:color w:val="2C7A7B"/>
          <w:sz w:val="30"/>
        </w:rPr>
        <w:t>MHA / DNP Course Adoption Guide</w:t>
      </w:r>
    </w:p>
    <w:p>
      <w:pPr>
        <w:spacing w:after="200"/>
      </w:pPr>
      <w:r>
        <w:rPr>
          <w:rFonts w:ascii="Calibri" w:hAnsi="Calibri"/>
          <w:b w:val="0"/>
          <w:i/>
          <w:color w:val="222222"/>
          <w:sz w:val="22"/>
        </w:rPr>
        <w:t xml:space="preserve">A ready-to-adopt teaching companion to </w:t>
      </w:r>
      <w:r>
        <w:rPr>
          <w:rFonts w:ascii="Calibri" w:hAnsi="Calibri"/>
          <w:b/>
          <w:i/>
          <w:color w:val="1F3A5F"/>
          <w:sz w:val="22"/>
        </w:rPr>
        <w:t>The 12 Laws of Healthcare Operations: A Systems Guide to Flow, Capacity, and Reliability</w:t>
      </w:r>
      <w:r>
        <w:rPr>
          <w:rFonts w:ascii="Calibri" w:hAnsi="Calibri"/>
          <w:b w:val="0"/>
          <w:i/>
          <w:color w:val="222222"/>
          <w:sz w:val="22"/>
        </w:rPr>
        <w:t xml:space="preserve">  ·  Shane Welter</w:t>
      </w:r>
    </w:p>
    <w:p>
      <w:pPr>
        <w:spacing w:after="200"/>
      </w:pPr>
      <w:r>
        <w:rPr>
          <w:rFonts w:ascii="Calibri" w:hAnsi="Calibri"/>
          <w:b w:val="0"/>
          <w:i w:val="0"/>
          <w:color w:val="222222"/>
          <w:sz w:val="21"/>
        </w:rPr>
        <w:t>Everything a graduate instructor needs to drop this book into a semester course: a why-it-fits overview, a 14-week reading schedule with the book's three-tier structure visible, weekly discussion questions, an honest competency map, ready-made assignments, and a note on the full Instructor’s Manual in development for adopting programs.</w:t>
      </w:r>
    </w:p>
    <w:p>
      <w:pPr>
        <w:spacing w:before="320" w:after="80"/>
      </w:pPr>
      <w:r>
        <w:rPr>
          <w:rFonts w:ascii="Calibri" w:hAnsi="Calibri"/>
          <w:b/>
          <w:i w:val="0"/>
          <w:color w:val="1F3A5F"/>
          <w:sz w:val="34"/>
        </w:rPr>
        <w:t>A.  Why This Book Fits Your Course</w:t>
      </w:r>
    </w:p>
    <w:p>
      <w:pPr>
        <w:spacing w:before="0" w:after="160"/>
        <w:pBdr>
          <w:bottom w:val="single" w:sz="12" w:space="1" w:color="2C7A7B"/>
        </w:pBdr>
      </w:pPr>
    </w:p>
    <w:p>
      <w:pPr>
        <w:spacing w:after="120"/>
      </w:pPr>
      <w:r>
        <w:rPr>
          <w:rFonts w:ascii="Calibri" w:hAnsi="Calibri"/>
          <w:b w:val="0"/>
          <w:i w:val="0"/>
          <w:color w:val="222222"/>
          <w:sz w:val="21"/>
        </w:rPr>
        <w:t>Most graduate courses in healthcare operations, patient flow, and systems leadership face the same teaching problem. The core ideas — queueing behavior, variability, capacity, coordination, reliability — are rigorous, but the available texts tend to be either abstract operations-research monographs that lose the clinical reader, or practitioner books that assert best practices without evidence. Students end up with tools but no governing logic, or a logic with no tools.</w:t>
      </w:r>
    </w:p>
    <w:p>
      <w:pPr>
        <w:spacing w:after="120"/>
      </w:pPr>
      <w:r>
        <w:rPr>
          <w:rFonts w:ascii="Calibri" w:hAnsi="Calibri"/>
          <w:b w:val="0"/>
          <w:i w:val="0"/>
          <w:color w:val="222222"/>
          <w:sz w:val="21"/>
        </w:rPr>
        <w:t>The 12 Laws of Healthcare Operations was written to close that gap. It organizes the field around twelve named operating regularities — from the Utilization Paradox to the Discharge Bottleneck to the Clinic Capacity Illusion — and nests them into three tiers that give a course its spine: the physics of flow, the structural constraints hospitals impose on themselves, and the discipline of designing for reliability. Each law arrives with its published evidence and boundary conditions, a vivid composite case, and an “Architect’s Application” that turns the idea into Monday-morning practice. It is, in the author’s phrase, “rigorous enough for the classroom, blunt enough for the command center.”</w:t>
      </w:r>
    </w:p>
    <w:p>
      <w:pPr>
        <w:spacing w:before="220" w:after="60"/>
      </w:pPr>
      <w:r>
        <w:rPr>
          <w:rFonts w:ascii="Calibri" w:hAnsi="Calibri"/>
          <w:b/>
          <w:i w:val="0"/>
          <w:color w:val="2C7A7B"/>
          <w:sz w:val="25"/>
        </w:rPr>
        <w:t>What it maps cleanly onto</w:t>
      </w:r>
    </w:p>
    <w:p>
      <w:pPr>
        <w:pStyle w:val="ListBullet"/>
        <w:spacing w:after="60"/>
      </w:pPr>
      <w:r>
        <w:rPr>
          <w:rFonts w:ascii="Calibri" w:hAnsi="Calibri"/>
          <w:b w:val="0"/>
          <w:i w:val="0"/>
          <w:color w:val="222222"/>
          <w:sz w:val="21"/>
        </w:rPr>
        <w:t>Healthcare operations management, patient-flow, and capacity / throughput courses (MHA, MS-HA, MBA health concentration).</w:t>
      </w:r>
    </w:p>
    <w:p>
      <w:pPr>
        <w:pStyle w:val="ListBullet"/>
        <w:spacing w:after="60"/>
      </w:pPr>
      <w:r>
        <w:rPr>
          <w:rFonts w:ascii="Calibri" w:hAnsi="Calibri"/>
          <w:b w:val="0"/>
          <w:i w:val="0"/>
          <w:color w:val="222222"/>
          <w:sz w:val="21"/>
        </w:rPr>
        <w:t>Systems-leadership, quality, and safety courses — including DNP systems-leadership and executive-leadership seminars that need an operations lens.</w:t>
      </w:r>
    </w:p>
    <w:p>
      <w:pPr>
        <w:pStyle w:val="ListBullet"/>
        <w:spacing w:after="60"/>
      </w:pPr>
      <w:r>
        <w:rPr>
          <w:rFonts w:ascii="Calibri" w:hAnsi="Calibri"/>
          <w:b w:val="0"/>
          <w:i w:val="0"/>
          <w:color w:val="222222"/>
          <w:sz w:val="21"/>
        </w:rPr>
        <w:t>Health-systems-science and interprofessional “how the system works” modules that need one teachable framework rather than a reading pile.</w:t>
      </w:r>
    </w:p>
    <w:p>
      <w:pPr>
        <w:spacing w:before="220" w:after="60"/>
      </w:pPr>
      <w:r>
        <w:rPr>
          <w:rFonts w:ascii="Calibri" w:hAnsi="Calibri"/>
          <w:b/>
          <w:i w:val="0"/>
          <w:color w:val="2C7A7B"/>
          <w:sz w:val="25"/>
        </w:rPr>
        <w:t>Why students respond to it</w:t>
      </w:r>
    </w:p>
    <w:p>
      <w:pPr>
        <w:pStyle w:val="ListBullet"/>
        <w:spacing w:after="60"/>
      </w:pPr>
      <w:r>
        <w:rPr>
          <w:rFonts w:ascii="Calibri" w:hAnsi="Calibri"/>
          <w:b/>
          <w:i w:val="0"/>
          <w:color w:val="1F3A5F"/>
          <w:sz w:val="21"/>
        </w:rPr>
        <w:t xml:space="preserve">Evidence-first. </w:t>
      </w:r>
      <w:r>
        <w:rPr>
          <w:rFonts w:ascii="Calibri" w:hAnsi="Calibri"/>
          <w:b w:val="0"/>
          <w:i w:val="0"/>
          <w:color w:val="222222"/>
          <w:sz w:val="21"/>
        </w:rPr>
        <w:t>Every claim is anchored to the literature (Kingman; Strum, May &amp; Vargas; Perrow; Gittell; Aiken; Goodhart, and others), so students argue from evidence, not opinion.</w:t>
      </w:r>
    </w:p>
    <w:p>
      <w:pPr>
        <w:pStyle w:val="ListBullet"/>
        <w:spacing w:after="60"/>
      </w:pPr>
      <w:r>
        <w:rPr>
          <w:rFonts w:ascii="Calibri" w:hAnsi="Calibri"/>
          <w:b/>
          <w:i w:val="0"/>
          <w:color w:val="1F3A5F"/>
          <w:sz w:val="21"/>
        </w:rPr>
        <w:t xml:space="preserve">Clinically legible. </w:t>
      </w:r>
      <w:r>
        <w:rPr>
          <w:rFonts w:ascii="Calibri" w:hAnsi="Calibri"/>
          <w:b w:val="0"/>
          <w:i w:val="0"/>
          <w:color w:val="222222"/>
          <w:sz w:val="21"/>
        </w:rPr>
        <w:t>The recurring composite hospital (“Riverview Medical Center”) makes queueing physics legible to clinical readers without diluting the math — a proven on-ramp for mixed MHA / DNP cohorts.</w:t>
      </w:r>
    </w:p>
    <w:p>
      <w:pPr>
        <w:pStyle w:val="ListBullet"/>
        <w:spacing w:after="60"/>
      </w:pPr>
      <w:r>
        <w:rPr>
          <w:rFonts w:ascii="Calibri" w:hAnsi="Calibri"/>
          <w:b/>
          <w:i w:val="0"/>
          <w:color w:val="1F3A5F"/>
          <w:sz w:val="21"/>
        </w:rPr>
        <w:t xml:space="preserve">Course-shaped. </w:t>
      </w:r>
      <w:r>
        <w:rPr>
          <w:rFonts w:ascii="Calibri" w:hAnsi="Calibri"/>
          <w:b w:val="0"/>
          <w:i w:val="0"/>
          <w:color w:val="222222"/>
          <w:sz w:val="21"/>
        </w:rPr>
        <w:t>The three-tier architecture is itself a course outline: diagnosis (Laws 1–10) precedes design (Laws 11–12) precedes leadership of change (closing chapters) — exactly how a semester should move.</w:t>
      </w:r>
    </w:p>
    <w:p>
      <w:pPr>
        <w:pStyle w:val="ListBullet"/>
        <w:spacing w:after="60"/>
      </w:pPr>
      <w:r>
        <w:rPr>
          <w:rFonts w:ascii="Calibri" w:hAnsi="Calibri"/>
          <w:b/>
          <w:i w:val="0"/>
          <w:color w:val="1F3A5F"/>
          <w:sz w:val="21"/>
        </w:rPr>
        <w:t xml:space="preserve">Intellectually honest. </w:t>
      </w:r>
      <w:r>
        <w:rPr>
          <w:rFonts w:ascii="Calibri" w:hAnsi="Calibri"/>
          <w:b w:val="0"/>
          <w:i w:val="0"/>
          <w:color w:val="222222"/>
          <w:sz w:val="21"/>
        </w:rPr>
        <w:t>It labels its own field heuristics (the Team Stability Score, the Stranger Ratio) as unvalidated and distinguishes them from validated instruments, modeling the scholarly honesty we want students to practice.</w:t>
      </w:r>
    </w:p>
    <w:p>
      <w:pPr>
        <w:spacing w:before="220" w:after="60"/>
      </w:pPr>
      <w:r>
        <w:rPr>
          <w:rFonts w:ascii="Calibri" w:hAnsi="Calibri"/>
          <w:b/>
          <w:i w:val="0"/>
          <w:color w:val="2C7A7B"/>
          <w:sz w:val="25"/>
        </w:rPr>
        <w:t xml:space="preserve">A shared vocabulary for interprofessional education</w:t>
      </w:r>
    </w:p>
    <w:p>
      <w:pPr>
        <w:spacing w:after="120"/>
      </w:pPr>
      <w:r>
        <w:rPr>
          <w:rFonts w:ascii="Calibri" w:hAnsi="Calibri"/>
          <w:b w:val="0"/>
          <w:i w:val="0"/>
          <w:color w:val="222222"/>
          <w:sz w:val="21"/>
        </w:rPr>
        <w:t xml:space="preserve">Increasingly, programs are also asked to teach across professions rather than in silos, and this book is built for that. Because flow, capacity, and reliability are problems no single discipline owns, the twelve laws give MHA, DNP, and medical students a shared operational vocabulary — one language for the utilization cliff, the discharge bottleneck, the coordination tax, and the buffers that keep a system reliable — so an administrator, a nurse leader, and a physician can diagnose the same unit from the same page. That matters for adoption: interprofessional education is increasingly emphasized across the accreditors your program answers to — CAHME’s criteria for graduate healthcare-management programs, the AACN Essentials that shape nursing and DNP curricula, and LCME’s expectations for medical education all point toward collaborative, team-based competence — and syllabus committees increasingly look for exactly this kind of shared, cross-professional language when they weigh a core text. The book supplies it without diluting the operations science underneath.</w:t>
      </w:r>
    </w:p>
    <w:p>
      <w:pPr>
        <w:spacing w:before="120" w:after="160"/>
        <w:pBdr>
          <w:left w:val="single" w:sz="18" w:space="12" w:color="2C7A7B"/>
        </w:pBdr>
        <w:shd w:val="clear" w:color="auto" w:fill="E7F1F1"/>
      </w:pPr>
      <w:r>
        <w:rPr>
          <w:rFonts w:ascii="Calibri" w:hAnsi="Calibri"/>
          <w:b/>
          <w:i w:val="0"/>
          <w:color w:val="1F3A5F"/>
          <w:sz w:val="21"/>
        </w:rPr>
        <w:t xml:space="preserve">The one-sentence pitch to your syllabus committee:  </w:t>
      </w:r>
      <w:r>
        <w:rPr>
          <w:rFonts w:ascii="Calibri" w:hAnsi="Calibri"/>
          <w:b w:val="0"/>
          <w:i/>
          <w:color w:val="222222"/>
          <w:sz w:val="21"/>
        </w:rPr>
        <w:t>a single, evidence-anchored framework that lets students diagnose why a well-resourced hospital still fails — and then design one that works — using operations science they can defend.</w:t>
      </w:r>
    </w:p>
    <w:p>
      <w:pPr>
        <w:spacing w:before="320" w:after="80"/>
      </w:pPr>
      <w:r>
        <w:rPr>
          <w:rFonts w:ascii="Calibri" w:hAnsi="Calibri"/>
          <w:b/>
          <w:i w:val="0"/>
          <w:color w:val="1F3A5F"/>
          <w:sz w:val="34"/>
        </w:rPr>
        <w:t>B.  14-Week Reading Schedule</w:t>
      </w:r>
    </w:p>
    <w:p>
      <w:pPr>
        <w:spacing w:before="0" w:after="160"/>
        <w:pBdr>
          <w:bottom w:val="single" w:sz="12" w:space="1" w:color="2C7A7B"/>
        </w:pBdr>
      </w:pPr>
    </w:p>
    <w:p>
      <w:pPr>
        <w:spacing w:after="120"/>
      </w:pPr>
      <w:r>
        <w:rPr>
          <w:rFonts w:ascii="Calibri" w:hAnsi="Calibri"/>
          <w:b w:val="0"/>
          <w:i w:val="0"/>
          <w:color w:val="222222"/>
          <w:sz w:val="21"/>
        </w:rPr>
        <w:t>The book runs an Introduction plus sixteen chapters. The schedule below maps them across a standard fourteen-week term while keeping the author’s three-tier structure visible, so students always know which layer of the system they are working in. Diagnostic chapters (Laws 1–10) are paced one to two per week; the design chapters (Laws 11–12) get room to breathe; and the four closing chapters — which turn from diagnosis to leading change — are grouped into the final weeks. The last column names the tool from the free companion set that pairs with that week.</w:t>
      </w:r>
    </w:p>
    <w:p>
      <w:pPr>
        <w:spacing w:after="120"/>
      </w:pPr>
      <w:r>
        <w:rPr>
          <w:rFonts w:ascii="Calibri" w:hAnsi="Calibri"/>
          <w:b/>
          <w:i w:val="0"/>
          <w:color w:val="222222"/>
          <w:sz w:val="21"/>
        </w:rPr>
        <w:t xml:space="preserve">Tier legend:   </w:t>
      </w:r>
      <w:r>
        <w:rPr>
          <w:rFonts w:ascii="Calibri" w:hAnsi="Calibri"/>
          <w:b/>
          <w:i w:val="0"/>
          <w:color w:val="2C7A7B"/>
          <w:sz w:val="21"/>
        </w:rPr>
        <w:t>TIER I — Physics of Flow (Laws 1–5)</w:t>
      </w:r>
      <w:r>
        <w:rPr>
          <w:rFonts w:ascii="Calibri" w:hAnsi="Calibri"/>
          <w:b w:val="0"/>
          <w:i w:val="0"/>
          <w:color w:val="222222"/>
          <w:sz w:val="21"/>
        </w:rPr>
        <w:t xml:space="preserve">   ·   </w:t>
      </w:r>
      <w:r>
        <w:rPr>
          <w:rFonts w:ascii="Calibri" w:hAnsi="Calibri"/>
          <w:b/>
          <w:i w:val="0"/>
          <w:color w:val="1F3A5F"/>
          <w:sz w:val="21"/>
        </w:rPr>
        <w:t>TIER II — Structural Constraints (Laws 6–10)</w:t>
      </w:r>
      <w:r>
        <w:rPr>
          <w:rFonts w:ascii="Calibri" w:hAnsi="Calibri"/>
          <w:b w:val="0"/>
          <w:i w:val="0"/>
          <w:color w:val="222222"/>
          <w:sz w:val="21"/>
        </w:rPr>
        <w:t xml:space="preserve">   ·   </w:t>
      </w:r>
      <w:r>
        <w:rPr>
          <w:rFonts w:ascii="Calibri" w:hAnsi="Calibri"/>
          <w:b/>
          <w:i w:val="0"/>
          <w:color w:val="6B466B"/>
          <w:sz w:val="21"/>
        </w:rPr>
        <w:t>TIER III — Designing for Reliability (Laws 11–12) &amp; Leading Change</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576"/>
            <w:shd w:val="clear" w:color="auto" w:fill="1F3A5F"/>
            <w:tcMar>
              <w:top w:w="60" w:type="dxa"/>
              <w:bottom w:w="60" w:type="dxa"/>
              <w:start w:w="90" w:type="dxa"/>
              <w:end w:w="90" w:type="dxa"/>
            </w:tcMar>
          </w:tcPr>
          <w:p>
            <w:pPr>
              <w:spacing w:after="0"/>
            </w:pPr>
            <w:r>
              <w:rPr>
                <w:rFonts w:ascii="Calibri" w:hAnsi="Calibri"/>
                <w:b/>
                <w:i w:val="0"/>
                <w:color w:val="FFFFFF"/>
                <w:sz w:val="19"/>
              </w:rPr>
              <w:t>Wk</w:t>
            </w:r>
          </w:p>
        </w:tc>
        <w:tc>
          <w:tcPr>
            <w:tcW w:type="dxa" w:w="1224"/>
            <w:shd w:val="clear" w:color="auto" w:fill="1F3A5F"/>
            <w:tcMar>
              <w:top w:w="60" w:type="dxa"/>
              <w:bottom w:w="60" w:type="dxa"/>
              <w:start w:w="90" w:type="dxa"/>
              <w:end w:w="90" w:type="dxa"/>
            </w:tcMar>
          </w:tcPr>
          <w:p>
            <w:pPr>
              <w:spacing w:after="0"/>
            </w:pPr>
            <w:r>
              <w:rPr>
                <w:rFonts w:ascii="Calibri" w:hAnsi="Calibri"/>
                <w:b/>
                <w:i w:val="0"/>
                <w:color w:val="FFFFFF"/>
                <w:sz w:val="19"/>
              </w:rPr>
              <w:t>Tier</w:t>
            </w:r>
          </w:p>
        </w:tc>
        <w:tc>
          <w:tcPr>
            <w:tcW w:type="dxa" w:w="2736"/>
            <w:shd w:val="clear" w:color="auto" w:fill="1F3A5F"/>
            <w:tcMar>
              <w:top w:w="60" w:type="dxa"/>
              <w:bottom w:w="60" w:type="dxa"/>
              <w:start w:w="90" w:type="dxa"/>
              <w:end w:w="90" w:type="dxa"/>
            </w:tcMar>
          </w:tcPr>
          <w:p>
            <w:pPr>
              <w:spacing w:after="0"/>
            </w:pPr>
            <w:r>
              <w:rPr>
                <w:rFonts w:ascii="Calibri" w:hAnsi="Calibri"/>
                <w:b/>
                <w:i w:val="0"/>
                <w:color w:val="FFFFFF"/>
                <w:sz w:val="19"/>
              </w:rPr>
              <w:t>Reading</w:t>
            </w:r>
          </w:p>
        </w:tc>
        <w:tc>
          <w:tcPr>
            <w:tcW w:type="dxa" w:w="4320"/>
            <w:shd w:val="clear" w:color="auto" w:fill="1F3A5F"/>
            <w:tcMar>
              <w:top w:w="60" w:type="dxa"/>
              <w:bottom w:w="60" w:type="dxa"/>
              <w:start w:w="90" w:type="dxa"/>
              <w:end w:w="90" w:type="dxa"/>
            </w:tcMar>
          </w:tcPr>
          <w:p>
            <w:pPr>
              <w:spacing w:after="0"/>
            </w:pPr>
            <w:r>
              <w:rPr>
                <w:rFonts w:ascii="Calibri" w:hAnsi="Calibri"/>
                <w:b/>
                <w:i w:val="0"/>
                <w:color w:val="FFFFFF"/>
                <w:sz w:val="19"/>
              </w:rPr>
              <w:t>Focus &amp; Law(s)</w:t>
            </w:r>
          </w:p>
        </w:tc>
        <w:tc>
          <w:tcPr>
            <w:tcW w:type="dxa" w:w="2664"/>
            <w:shd w:val="clear" w:color="auto" w:fill="1F3A5F"/>
            <w:tcMar>
              <w:top w:w="60" w:type="dxa"/>
              <w:bottom w:w="60" w:type="dxa"/>
              <w:start w:w="90" w:type="dxa"/>
              <w:end w:w="90" w:type="dxa"/>
            </w:tcMar>
          </w:tcPr>
          <w:p>
            <w:pPr>
              <w:spacing w:after="0"/>
            </w:pPr>
            <w:r>
              <w:rPr>
                <w:rFonts w:ascii="Calibri" w:hAnsi="Calibri"/>
                <w:b/>
                <w:i w:val="0"/>
                <w:color w:val="FFFFFF"/>
                <w:sz w:val="19"/>
              </w:rPr>
              <w:t>Paired companion tool</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1</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222222"/>
                <w:sz w:val="17"/>
              </w:rPr>
              <w:t>Orientation</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Introduction: The Map and the Territory; Ch. 1 — The Invisible Work Law</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The green-dashboard paradox; the three tiers; unmeasured coordination work as consumed capacity (Law 1).</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Flow Risk Screener (baseline your unit on all 12 laws)</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2</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2C7A7B"/>
                <w:sz w:val="17"/>
              </w:rPr>
              <w:t>TIER I</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2 — The Utilization Paradox</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Kingman’s formula and the utilization cliff; why high occupancy buys nonlinear delay (Law 2).</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Diagnostic Workbook → Operating-Envelope Plotter</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3</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2C7A7B"/>
                <w:sz w:val="17"/>
              </w:rPr>
              <w:t>TIER I</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3 — The Variability Cascade</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Input–throughput–output flows; heavy tails; how small surges amplify system-wide (Law 3).</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Diagnostic Workbook (variability); Quick Reference Card</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4</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2C7A7B"/>
                <w:sz w:val="17"/>
              </w:rPr>
              <w:t>TIER I</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4 — The Fragility Principle;  Ch. 5 — The Coordination Tax</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Normal Accident Theory; tight vs. loose coupling (Law 4); relational coordination and the cost of handoffs (Law 5).</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Exhibits Pack (fragility curve; coordination-tax figures)</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5</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1F3A5F"/>
                <w:sz w:val="17"/>
              </w:rPr>
              <w:t>TIER II</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6 — The Team Familiarity Effect;  Ch. 7 — The Workforce Stability Rule</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Familiarity and survival (Law 6); turnover, cohesion, and the Stranger Ratio (Law 7).</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Diagnostic Workbook → Stranger Ratio &amp; Team Stability Score</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6</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1F3A5F"/>
                <w:sz w:val="17"/>
              </w:rPr>
              <w:t>TIER II</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8 — The Discharge Bottleneck</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Exit velocity governs capacity; the Noon Cliff; internal vs. external delay sources (Law 8).</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Discharge-by-Noon Implementation Kit + Daily Checklist</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7</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1F3A5F"/>
                <w:sz w:val="17"/>
              </w:rPr>
              <w:t>TIER II</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9 — The Clinic Capacity Illusion</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A full schedule is already closed; the linchpin provider; Advanced Access (Law 9).</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Diagnostic Workbook (access); Board ROI Calculator (access framing)</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8</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1F3A5F"/>
                <w:sz w:val="17"/>
              </w:rPr>
              <w:t>TIER II</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10 — The Measurement Error   ·   Midterm synthesis</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Goodhart’s Law; proxy metrics and the tyranny of the average (Law 10). Consolidate Tiers I–II.</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Flow Risk Screener (re-score); Exhibits Pack for synthesis</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9</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6B466B"/>
                <w:sz w:val="17"/>
              </w:rPr>
              <w:t>TIER III</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11 — The Slack Requirement</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Variance, not averages, creates bottlenecks; slack as infrastructure and as the space to learn (Law 11).</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Diagnostic Workbook → Slack Sizing Worksheet</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10</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6B466B"/>
                <w:sz w:val="17"/>
              </w:rPr>
              <w:t>TIER III</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12 — The System Design Law</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Management as a technology; global-over-local; why local fixes relocate failure (Law 12).</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Board Business-Case ROI Calculator (full build)</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11</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6B466B"/>
                <w:sz w:val="17"/>
              </w:rPr>
              <w:t>Design</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13 — The System That Could Exist</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A department-by-department portrait of a hospital engineered to absorb variability rather than amplify it.</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Capacity-Huddle Facilitation Kit; Exhibits Pack (future-state)</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12</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6B466B"/>
                <w:sz w:val="17"/>
              </w:rPr>
              <w:t>Change</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14 — Why Healthcare Fights the Laws</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The Installation Myth and the Organizational Antibody; the science of subtraction; the payment substrate.</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Discussion set (Section C, Week 12)</w:t>
            </w:r>
          </w:p>
        </w:tc>
      </w:tr>
      <w:tr>
        <w:tc>
          <w:tcPr>
            <w:tcW w:type="dxa" w:w="576"/>
            <w:shd w:val="clear" w:color="auto" w:fill="F2F4F7"/>
            <w:tcMar>
              <w:top w:w="60" w:type="dxa"/>
              <w:bottom w:w="60" w:type="dxa"/>
              <w:start w:w="90" w:type="dxa"/>
              <w:end w:w="90" w:type="dxa"/>
            </w:tcMar>
          </w:tcPr>
          <w:p>
            <w:pPr>
              <w:spacing w:after="0"/>
            </w:pPr>
            <w:r>
              <w:rPr>
                <w:rFonts w:ascii="Calibri" w:hAnsi="Calibri"/>
                <w:b/>
                <w:i w:val="0"/>
                <w:color w:val="1F3A5F"/>
                <w:sz w:val="19"/>
              </w:rPr>
              <w:t>13</w:t>
            </w:r>
          </w:p>
        </w:tc>
        <w:tc>
          <w:tcPr>
            <w:tcW w:type="dxa" w:w="1224"/>
            <w:shd w:val="clear" w:color="auto" w:fill="F2F4F7"/>
            <w:tcMar>
              <w:top w:w="60" w:type="dxa"/>
              <w:bottom w:w="60" w:type="dxa"/>
              <w:start w:w="90" w:type="dxa"/>
              <w:end w:w="90" w:type="dxa"/>
            </w:tcMar>
          </w:tcPr>
          <w:p>
            <w:pPr>
              <w:spacing w:after="0"/>
            </w:pPr>
            <w:r>
              <w:rPr>
                <w:rFonts w:ascii="Calibri" w:hAnsi="Calibri"/>
                <w:b/>
                <w:i w:val="0"/>
                <w:color w:val="6B466B"/>
                <w:sz w:val="17"/>
              </w:rPr>
              <w:t>Change</w:t>
            </w:r>
          </w:p>
        </w:tc>
        <w:tc>
          <w:tcPr>
            <w:tcW w:type="dxa" w:w="2736"/>
            <w:shd w:val="clear" w:color="auto" w:fill="F2F4F7"/>
            <w:tcMar>
              <w:top w:w="60" w:type="dxa"/>
              <w:bottom w:w="60" w:type="dxa"/>
              <w:start w:w="90" w:type="dxa"/>
              <w:end w:w="90" w:type="dxa"/>
            </w:tcMar>
          </w:tcPr>
          <w:p>
            <w:pPr>
              <w:spacing w:after="0"/>
            </w:pPr>
            <w:r>
              <w:rPr>
                <w:rFonts w:ascii="Calibri" w:hAnsi="Calibri"/>
                <w:b w:val="0"/>
                <w:i w:val="0"/>
                <w:color w:val="222222"/>
                <w:sz w:val="18"/>
              </w:rPr>
              <w:t>Ch. 15 — The Organizational Antibody</w:t>
            </w:r>
          </w:p>
        </w:tc>
        <w:tc>
          <w:tcPr>
            <w:tcW w:type="dxa" w:w="4320"/>
            <w:shd w:val="clear" w:color="auto" w:fill="F2F4F7"/>
            <w:tcMar>
              <w:top w:w="60" w:type="dxa"/>
              <w:bottom w:w="60" w:type="dxa"/>
              <w:start w:w="90" w:type="dxa"/>
              <w:end w:w="90" w:type="dxa"/>
            </w:tcMar>
          </w:tcPr>
          <w:p>
            <w:pPr>
              <w:spacing w:after="0"/>
            </w:pPr>
            <w:r>
              <w:rPr>
                <w:rFonts w:ascii="Calibri" w:hAnsi="Calibri"/>
                <w:b w:val="0"/>
                <w:i w:val="0"/>
                <w:color w:val="222222"/>
                <w:sz w:val="18"/>
              </w:rPr>
              <w:t>The Exhaustion Trap; non-sustainment by attrition; why diluted pilots fail near a threshold.</w:t>
            </w:r>
          </w:p>
        </w:tc>
        <w:tc>
          <w:tcPr>
            <w:tcW w:type="dxa" w:w="2664"/>
            <w:shd w:val="clear" w:color="auto" w:fill="F2F4F7"/>
            <w:tcMar>
              <w:top w:w="60" w:type="dxa"/>
              <w:bottom w:w="60" w:type="dxa"/>
              <w:start w:w="90" w:type="dxa"/>
              <w:end w:w="90" w:type="dxa"/>
            </w:tcMar>
          </w:tcPr>
          <w:p>
            <w:pPr>
              <w:spacing w:after="0"/>
            </w:pPr>
            <w:r>
              <w:rPr>
                <w:rFonts w:ascii="Calibri" w:hAnsi="Calibri"/>
                <w:b w:val="0"/>
                <w:i/>
                <w:color w:val="2C7A7B"/>
                <w:sz w:val="17"/>
              </w:rPr>
              <w:t>Capacity-Huddle Kit (sustainment framing)</w:t>
            </w:r>
          </w:p>
        </w:tc>
      </w:tr>
      <w:tr>
        <w:tc>
          <w:tcPr>
            <w:tcW w:type="dxa" w:w="576"/>
            <w:shd w:val="clear" w:color="auto" w:fill="FFFFFF"/>
            <w:tcMar>
              <w:top w:w="60" w:type="dxa"/>
              <w:bottom w:w="60" w:type="dxa"/>
              <w:start w:w="90" w:type="dxa"/>
              <w:end w:w="90" w:type="dxa"/>
            </w:tcMar>
          </w:tcPr>
          <w:p>
            <w:pPr>
              <w:spacing w:after="0"/>
            </w:pPr>
            <w:r>
              <w:rPr>
                <w:rFonts w:ascii="Calibri" w:hAnsi="Calibri"/>
                <w:b/>
                <w:i w:val="0"/>
                <w:color w:val="1F3A5F"/>
                <w:sz w:val="19"/>
              </w:rPr>
              <w:t>14</w:t>
            </w:r>
          </w:p>
        </w:tc>
        <w:tc>
          <w:tcPr>
            <w:tcW w:type="dxa" w:w="1224"/>
            <w:shd w:val="clear" w:color="auto" w:fill="FFFFFF"/>
            <w:tcMar>
              <w:top w:w="60" w:type="dxa"/>
              <w:bottom w:w="60" w:type="dxa"/>
              <w:start w:w="90" w:type="dxa"/>
              <w:end w:w="90" w:type="dxa"/>
            </w:tcMar>
          </w:tcPr>
          <w:p>
            <w:pPr>
              <w:spacing w:after="0"/>
            </w:pPr>
            <w:r>
              <w:rPr>
                <w:rFonts w:ascii="Calibri" w:hAnsi="Calibri"/>
                <w:b/>
                <w:i w:val="0"/>
                <w:color w:val="6B466B"/>
                <w:sz w:val="17"/>
              </w:rPr>
              <w:t>Leadership</w:t>
            </w:r>
          </w:p>
        </w:tc>
        <w:tc>
          <w:tcPr>
            <w:tcW w:type="dxa" w:w="2736"/>
            <w:shd w:val="clear" w:color="auto" w:fill="FFFFFF"/>
            <w:tcMar>
              <w:top w:w="60" w:type="dxa"/>
              <w:bottom w:w="60" w:type="dxa"/>
              <w:start w:w="90" w:type="dxa"/>
              <w:end w:w="90" w:type="dxa"/>
            </w:tcMar>
          </w:tcPr>
          <w:p>
            <w:pPr>
              <w:spacing w:after="0"/>
            </w:pPr>
            <w:r>
              <w:rPr>
                <w:rFonts w:ascii="Calibri" w:hAnsi="Calibri"/>
                <w:b w:val="0"/>
                <w:i w:val="0"/>
                <w:color w:val="222222"/>
                <w:sz w:val="18"/>
              </w:rPr>
              <w:t>Ch. 16 — The Flow Architect  ·  Course capstone</w:t>
            </w:r>
          </w:p>
        </w:tc>
        <w:tc>
          <w:tcPr>
            <w:tcW w:type="dxa" w:w="4320"/>
            <w:shd w:val="clear" w:color="auto" w:fill="FFFFFF"/>
            <w:tcMar>
              <w:top w:w="60" w:type="dxa"/>
              <w:bottom w:w="60" w:type="dxa"/>
              <w:start w:w="90" w:type="dxa"/>
              <w:end w:w="90" w:type="dxa"/>
            </w:tcMar>
          </w:tcPr>
          <w:p>
            <w:pPr>
              <w:spacing w:after="0"/>
            </w:pPr>
            <w:r>
              <w:rPr>
                <w:rFonts w:ascii="Calibri" w:hAnsi="Calibri"/>
                <w:b w:val="0"/>
                <w:i w:val="0"/>
                <w:color w:val="222222"/>
                <w:sz w:val="18"/>
              </w:rPr>
              <w:t>Commander-of-the-Work vs. Architect-of-the-Flow; the Keystone central-line result; sustaining the redesign.</w:t>
            </w:r>
          </w:p>
        </w:tc>
        <w:tc>
          <w:tcPr>
            <w:tcW w:type="dxa" w:w="2664"/>
            <w:shd w:val="clear" w:color="auto" w:fill="FFFFFF"/>
            <w:tcMar>
              <w:top w:w="60" w:type="dxa"/>
              <w:bottom w:w="60" w:type="dxa"/>
              <w:start w:w="90" w:type="dxa"/>
              <w:end w:w="90" w:type="dxa"/>
            </w:tcMar>
          </w:tcPr>
          <w:p>
            <w:pPr>
              <w:spacing w:after="0"/>
            </w:pPr>
            <w:r>
              <w:rPr>
                <w:rFonts w:ascii="Calibri" w:hAnsi="Calibri"/>
                <w:b w:val="0"/>
                <w:i/>
                <w:color w:val="2C7A7B"/>
                <w:sz w:val="17"/>
              </w:rPr>
              <w:t>Capstone deliverable (Section E)</w:t>
            </w:r>
          </w:p>
        </w:tc>
      </w:tr>
    </w:tbl>
    <w:p>
      <w:pPr>
        <w:spacing w:before="120"/>
      </w:pPr>
      <w:r>
        <w:rPr>
          <w:rFonts w:ascii="Calibri" w:hAnsi="Calibri"/>
          <w:b/>
          <w:i w:val="0"/>
          <w:color w:val="1F3A5F"/>
          <w:sz w:val="21"/>
        </w:rPr>
        <w:t xml:space="preserve">Pacing note:  </w:t>
      </w:r>
      <w:r>
        <w:rPr>
          <w:rFonts w:ascii="Calibri" w:hAnsi="Calibri"/>
          <w:b w:val="0"/>
          <w:i/>
          <w:color w:val="222222"/>
          <w:sz w:val="19"/>
        </w:rPr>
        <w:t>for a 15- or 16-week term, split Week 4 (Ch. 4 / Ch. 5) and Week 5 (Ch. 6 / Ch. 7) into single-chapter weeks. For an accelerated 7- or 8-week term, teach by tier: Weeks 1–3 (Tier I), Weeks 4–5 (Tier II), Week 6 (Tier III), Weeks 7–8 (Chs. 13–16, change and leadership).</w:t>
      </w:r>
    </w:p>
    <w:p>
      <w:r>
        <w:br w:type="page"/>
      </w:r>
    </w:p>
    <w:p>
      <w:pPr>
        <w:spacing w:before="320" w:after="80"/>
      </w:pPr>
      <w:r>
        <w:rPr>
          <w:rFonts w:ascii="Calibri" w:hAnsi="Calibri"/>
          <w:b/>
          <w:i w:val="0"/>
          <w:color w:val="1F3A5F"/>
          <w:sz w:val="34"/>
        </w:rPr>
        <w:t>C.  Weekly Discussion Questions</w:t>
      </w:r>
    </w:p>
    <w:p>
      <w:pPr>
        <w:spacing w:before="0" w:after="160"/>
        <w:pBdr>
          <w:bottom w:val="single" w:sz="12" w:space="1" w:color="2C7A7B"/>
        </w:pBdr>
      </w:pPr>
    </w:p>
    <w:p>
      <w:pPr>
        <w:spacing w:after="120"/>
      </w:pPr>
      <w:r>
        <w:rPr>
          <w:rFonts w:ascii="Calibri" w:hAnsi="Calibri"/>
          <w:b w:val="0"/>
          <w:i w:val="0"/>
          <w:color w:val="222222"/>
          <w:sz w:val="21"/>
        </w:rPr>
        <w:t>Two to three questions per week, tied to that week’s law(s). They are written to move a class from comprehension (“what does the law say?”) to application (“what would it change in a unit you know?”) to critique (“where does it break, and how would you test it?”). Each set is usable as seminar prompts, discussion-board threads, or reflection stems.</w:t>
      </w:r>
    </w:p>
    <w:p>
      <w:pPr>
        <w:spacing w:before="160" w:after="40"/>
      </w:pPr>
      <w:r>
        <w:rPr>
          <w:rFonts w:ascii="Calibri" w:hAnsi="Calibri"/>
          <w:b/>
          <w:i w:val="0"/>
          <w:color w:val="1F3A5F"/>
          <w:sz w:val="22"/>
        </w:rPr>
        <w:t>Week 1 — Introduction &amp; Law 1 (Invisible Work)</w:t>
      </w:r>
    </w:p>
    <w:p>
      <w:pPr>
        <w:pStyle w:val="ListNumber"/>
        <w:spacing w:after="40"/>
      </w:pPr>
      <w:r>
        <w:rPr>
          <w:rFonts w:ascii="Calibri" w:hAnsi="Calibri"/>
          <w:b w:val="0"/>
          <w:i w:val="0"/>
          <w:color w:val="222222"/>
          <w:sz w:val="20"/>
        </w:rPr>
        <w:t>The book opens with an executive dashboard glowing green while the hospital fails two floors down. Describe a “green dashboard, red reality” gap you have witnessed. Whose view was the dashboard, and whose was the reality?</w:t>
      </w:r>
    </w:p>
    <w:p>
      <w:pPr>
        <w:pStyle w:val="ListNumber"/>
        <w:spacing w:after="40"/>
      </w:pPr>
      <w:r>
        <w:rPr>
          <w:rFonts w:ascii="Calibri" w:hAnsi="Calibri"/>
          <w:b w:val="0"/>
          <w:i w:val="0"/>
          <w:color w:val="222222"/>
          <w:sz w:val="20"/>
        </w:rPr>
        <w:t>Law 1 reframes “Pajama Time” as a structural time famine rather than a personal discipline problem. If you accept that reframe, which common interventions (wellness seminars, resilience training) are aimed at the wrong target — and what would a structural fix look like?</w:t>
      </w:r>
    </w:p>
    <w:p>
      <w:pPr>
        <w:pStyle w:val="ListNumber"/>
        <w:spacing w:after="40"/>
      </w:pPr>
      <w:r>
        <w:rPr>
          <w:rFonts w:ascii="Calibri" w:hAnsi="Calibri"/>
          <w:b w:val="0"/>
          <w:i w:val="0"/>
          <w:color w:val="222222"/>
          <w:sz w:val="20"/>
        </w:rPr>
        <w:t>The chapter argues a visit is “not the work; it is the seed” of downstream coordination. For one clinical encounter, list the invisible follow-on tasks it plants. Who tends that garden, and where does that time currently live?</w:t>
      </w:r>
    </w:p>
    <w:p>
      <w:pPr>
        <w:spacing w:before="160" w:after="40"/>
      </w:pPr>
      <w:r>
        <w:rPr>
          <w:rFonts w:ascii="Calibri" w:hAnsi="Calibri"/>
          <w:b/>
          <w:i w:val="0"/>
          <w:color w:val="1F3A5F"/>
          <w:sz w:val="22"/>
        </w:rPr>
        <w:t>Week 2 — Law 2 (Utilization Paradox)</w:t>
      </w:r>
    </w:p>
    <w:p>
      <w:pPr>
        <w:pStyle w:val="ListNumber"/>
        <w:spacing w:after="40"/>
      </w:pPr>
      <w:r>
        <w:rPr>
          <w:rFonts w:ascii="Calibri" w:hAnsi="Calibri"/>
          <w:b w:val="0"/>
          <w:i w:val="0"/>
          <w:color w:val="222222"/>
          <w:sz w:val="20"/>
        </w:rPr>
        <w:t>Kingman’s formula makes delay rise with roughly 1 ÷ (1 − utilization). In plain language, explain to a skeptical CFO why moving a unit from 85% to 95% occupancy does not add 10% more delay.</w:t>
      </w:r>
    </w:p>
    <w:p>
      <w:pPr>
        <w:pStyle w:val="ListNumber"/>
        <w:spacing w:after="40"/>
      </w:pPr>
      <w:r>
        <w:rPr>
          <w:rFonts w:ascii="Calibri" w:hAnsi="Calibri"/>
          <w:b w:val="0"/>
          <w:i w:val="0"/>
          <w:color w:val="222222"/>
          <w:sz w:val="20"/>
        </w:rPr>
        <w:t>The book insists the “~85% cliff” is a size-dependent heuristic, not a universal constant. What unit characteristics would push a given unit’s true cliff higher or lower — and how would you find it with the Operating-Envelope Plotter?</w:t>
      </w:r>
    </w:p>
    <w:p>
      <w:pPr>
        <w:pStyle w:val="ListNumber"/>
        <w:spacing w:after="40"/>
      </w:pPr>
      <w:r>
        <w:rPr>
          <w:rFonts w:ascii="Calibri" w:hAnsi="Calibri"/>
          <w:b w:val="0"/>
          <w:i w:val="0"/>
          <w:color w:val="222222"/>
          <w:sz w:val="20"/>
        </w:rPr>
        <w:t>Where in your organization is an idle resource treated as pure waste? Reconstruct the argument that the idleness is actually buffering capacity.</w:t>
      </w:r>
    </w:p>
    <w:p>
      <w:pPr>
        <w:spacing w:before="160" w:after="40"/>
      </w:pPr>
      <w:r>
        <w:rPr>
          <w:rFonts w:ascii="Calibri" w:hAnsi="Calibri"/>
          <w:b/>
          <w:i w:val="0"/>
          <w:color w:val="1F3A5F"/>
          <w:sz w:val="22"/>
        </w:rPr>
        <w:t>Week 3 — Law 3 (Variability Cascade)</w:t>
      </w:r>
    </w:p>
    <w:p>
      <w:pPr>
        <w:pStyle w:val="ListNumber"/>
        <w:spacing w:after="40"/>
      </w:pPr>
      <w:r>
        <w:rPr>
          <w:rFonts w:ascii="Calibri" w:hAnsi="Calibri"/>
          <w:b w:val="0"/>
          <w:i w:val="0"/>
          <w:color w:val="222222"/>
          <w:sz w:val="20"/>
        </w:rPr>
        <w:t>Asplin’s model splits an ED into input, throughput, and output. Trace one real surge you know through all three stages. At which stage did the cascade actually bite — and was that where people looked for the cause?</w:t>
      </w:r>
    </w:p>
    <w:p>
      <w:pPr>
        <w:pStyle w:val="ListNumber"/>
        <w:spacing w:after="40"/>
      </w:pPr>
      <w:r>
        <w:rPr>
          <w:rFonts w:ascii="Calibri" w:hAnsi="Calibri"/>
          <w:b w:val="0"/>
          <w:i w:val="0"/>
          <w:color w:val="222222"/>
          <w:sz w:val="20"/>
        </w:rPr>
        <w:t>The chapter claims the binding constraint on the front door usually lives at the back door. What evidence would convince you that adding four ED bays would (or would not) fix crowding at a hospital you know?</w:t>
      </w:r>
    </w:p>
    <w:p>
      <w:pPr>
        <w:pStyle w:val="ListNumber"/>
        <w:spacing w:after="40"/>
      </w:pPr>
      <w:r>
        <w:rPr>
          <w:rFonts w:ascii="Calibri" w:hAnsi="Calibri"/>
          <w:b w:val="0"/>
          <w:i w:val="0"/>
          <w:color w:val="222222"/>
          <w:sz w:val="20"/>
        </w:rPr>
        <w:t>“The rate-limiter is sometimes a human decision, not a physical resource.” Give an example where individually reasonable, conservative choices aggregate into system gridlock. What behavioral lever — not capital — would you pull?</w:t>
      </w:r>
    </w:p>
    <w:p>
      <w:pPr>
        <w:spacing w:before="160" w:after="40"/>
      </w:pPr>
      <w:r>
        <w:rPr>
          <w:rFonts w:ascii="Calibri" w:hAnsi="Calibri"/>
          <w:b/>
          <w:i w:val="0"/>
          <w:color w:val="1F3A5F"/>
          <w:sz w:val="22"/>
        </w:rPr>
        <w:t>Week 4 — Laws 4 &amp; 5 (Fragility; Coordination Tax)</w:t>
      </w:r>
    </w:p>
    <w:p>
      <w:pPr>
        <w:pStyle w:val="ListNumber"/>
        <w:spacing w:after="40"/>
      </w:pPr>
      <w:r>
        <w:rPr>
          <w:rFonts w:ascii="Calibri" w:hAnsi="Calibri"/>
          <w:b w:val="0"/>
          <w:i w:val="0"/>
          <w:color w:val="222222"/>
          <w:sz w:val="20"/>
        </w:rPr>
        <w:t>Perrow argues high utilization converts loose coupling into tight coupling. Apply that claim to a specific hospital process: what does the same process look like at 70% vs. 95% occupancy?</w:t>
      </w:r>
    </w:p>
    <w:p>
      <w:pPr>
        <w:pStyle w:val="ListNumber"/>
        <w:spacing w:after="40"/>
      </w:pPr>
      <w:r>
        <w:rPr>
          <w:rFonts w:ascii="Calibri" w:hAnsi="Calibri"/>
          <w:b w:val="0"/>
          <w:i w:val="0"/>
          <w:color w:val="222222"/>
          <w:sz w:val="20"/>
        </w:rPr>
        <w:t>Gittell’s relational coordination locates friction in missing relationships, not missing software. Identify a handoff in your setting that another portal would not fix. What relational redesign might?</w:t>
      </w:r>
    </w:p>
    <w:p>
      <w:pPr>
        <w:pStyle w:val="ListNumber"/>
        <w:spacing w:after="40"/>
      </w:pPr>
      <w:r>
        <w:rPr>
          <w:rFonts w:ascii="Calibri" w:hAnsi="Calibri"/>
          <w:b w:val="0"/>
          <w:i w:val="0"/>
          <w:color w:val="222222"/>
          <w:sz w:val="20"/>
        </w:rPr>
        <w:t>The coordination tax is described as measurable in bed-hours and dollars. Sketch how you would estimate it for one delayed discharge from start to finish.</w:t>
      </w:r>
    </w:p>
    <w:p>
      <w:pPr>
        <w:spacing w:before="160" w:after="40"/>
      </w:pPr>
      <w:r>
        <w:rPr>
          <w:rFonts w:ascii="Calibri" w:hAnsi="Calibri"/>
          <w:b/>
          <w:i w:val="0"/>
          <w:color w:val="1F3A5F"/>
          <w:sz w:val="22"/>
        </w:rPr>
        <w:t>Week 5 — Laws 6 &amp; 7 (Team Familiarity; Workforce Stability)</w:t>
      </w:r>
    </w:p>
    <w:p>
      <w:pPr>
        <w:pStyle w:val="ListNumber"/>
        <w:spacing w:after="40"/>
      </w:pPr>
      <w:r>
        <w:rPr>
          <w:rFonts w:ascii="Calibri" w:hAnsi="Calibri"/>
          <w:b w:val="0"/>
          <w:i w:val="0"/>
          <w:color w:val="222222"/>
          <w:sz w:val="20"/>
        </w:rPr>
        <w:t>The evidence ties lower team familiarity to higher mortality, independent of staffing levels. What does that imply about a staffing plan that treats nurses as interchangeable FTEs?</w:t>
      </w:r>
    </w:p>
    <w:p>
      <w:pPr>
        <w:pStyle w:val="ListNumber"/>
        <w:spacing w:after="40"/>
      </w:pPr>
      <w:r>
        <w:rPr>
          <w:rFonts w:ascii="Calibri" w:hAnsi="Calibri"/>
          <w:b w:val="0"/>
          <w:i w:val="0"/>
          <w:color w:val="222222"/>
          <w:sz w:val="20"/>
        </w:rPr>
        <w:t>Compare the book’s stable unit and float unit, both at identical ratios. If their headcounts are the same, what exactly is different — and why does the dashboard show both “green”?</w:t>
      </w:r>
    </w:p>
    <w:p>
      <w:pPr>
        <w:pStyle w:val="ListNumber"/>
        <w:spacing w:after="40"/>
      </w:pPr>
      <w:r>
        <w:rPr>
          <w:rFonts w:ascii="Calibri" w:hAnsi="Calibri"/>
          <w:b w:val="0"/>
          <w:i w:val="0"/>
          <w:color w:val="222222"/>
          <w:sz w:val="20"/>
        </w:rPr>
        <w:t>The author labels the Stranger Ratio and Team Stability Score as unvalidated field heuristics. As a scholar, how would you use them responsibly, and what would it take to validate one?</w:t>
      </w:r>
    </w:p>
    <w:p>
      <w:pPr>
        <w:spacing w:before="160" w:after="40"/>
      </w:pPr>
      <w:r>
        <w:rPr>
          <w:rFonts w:ascii="Calibri" w:hAnsi="Calibri"/>
          <w:b/>
          <w:i w:val="0"/>
          <w:color w:val="1F3A5F"/>
          <w:sz w:val="22"/>
        </w:rPr>
        <w:t>Week 6 — Law 8 (Discharge Bottleneck)</w:t>
      </w:r>
    </w:p>
    <w:p>
      <w:pPr>
        <w:pStyle w:val="ListNumber"/>
        <w:spacing w:after="40"/>
      </w:pPr>
      <w:r>
        <w:rPr>
          <w:rFonts w:ascii="Calibri" w:hAnsi="Calibri"/>
          <w:b w:val="0"/>
          <w:i w:val="0"/>
          <w:color w:val="222222"/>
          <w:sz w:val="20"/>
        </w:rPr>
        <w:t>“Hospitals rarely run out of beds; they run out of discharges.” Explain how a delayed discharge becomes, in the author’s phrase, “a hand on the throat of the emergency department.”</w:t>
      </w:r>
    </w:p>
    <w:p>
      <w:pPr>
        <w:pStyle w:val="ListNumber"/>
        <w:spacing w:after="40"/>
      </w:pPr>
      <w:r>
        <w:rPr>
          <w:rFonts w:ascii="Calibri" w:hAnsi="Calibri"/>
          <w:b w:val="0"/>
          <w:i w:val="0"/>
          <w:color w:val="222222"/>
          <w:sz w:val="20"/>
        </w:rPr>
        <w:t>Separate three discharge delays you have seen into internal-designable (pharmacy, transport, sequencing) versus external (post-acute capacity, prior authorization, social). Why must these two categories be managed differently?</w:t>
      </w:r>
    </w:p>
    <w:p>
      <w:pPr>
        <w:pStyle w:val="ListNumber"/>
        <w:spacing w:after="40"/>
      </w:pPr>
      <w:r>
        <w:rPr>
          <w:rFonts w:ascii="Calibri" w:hAnsi="Calibri"/>
          <w:b w:val="0"/>
          <w:i w:val="0"/>
          <w:color w:val="222222"/>
          <w:sz w:val="20"/>
        </w:rPr>
        <w:t>The Noon Cliff describes arrivals peaking before discharges clear. What would it take, operationally, to move your unit’s median discharge order two hours earlier — and what would resist it?</w:t>
      </w:r>
    </w:p>
    <w:p>
      <w:pPr>
        <w:spacing w:before="160" w:after="40"/>
      </w:pPr>
      <w:r>
        <w:rPr>
          <w:rFonts w:ascii="Calibri" w:hAnsi="Calibri"/>
          <w:b/>
          <w:i w:val="0"/>
          <w:color w:val="1F3A5F"/>
          <w:sz w:val="22"/>
        </w:rPr>
        <w:t>Week 7 — Law 9 (Clinic Capacity Illusion)</w:t>
      </w:r>
    </w:p>
    <w:p>
      <w:pPr>
        <w:pStyle w:val="ListNumber"/>
        <w:spacing w:after="40"/>
      </w:pPr>
      <w:r>
        <w:rPr>
          <w:rFonts w:ascii="Calibri" w:hAnsi="Calibri"/>
          <w:b w:val="0"/>
          <w:i w:val="0"/>
          <w:color w:val="222222"/>
          <w:sz w:val="20"/>
        </w:rPr>
        <w:t>A fully booked clinic is described as “already closed” to today’s acute need. Reconcile that with the intuition that a full schedule means a productive clinic.</w:t>
      </w:r>
    </w:p>
    <w:p>
      <w:pPr>
        <w:pStyle w:val="ListNumber"/>
        <w:spacing w:after="40"/>
      </w:pPr>
      <w:r>
        <w:rPr>
          <w:rFonts w:ascii="Calibri" w:hAnsi="Calibri"/>
          <w:b w:val="0"/>
          <w:i w:val="0"/>
          <w:color w:val="222222"/>
          <w:sz w:val="20"/>
        </w:rPr>
        <w:t>The “linchpin” provider is a bottleneck in the engineering sense: access does not slow when their grid fills, it ceases. Who is the linchpin in a practice you know, and what would a substitutable team around them look like?</w:t>
      </w:r>
    </w:p>
    <w:p>
      <w:pPr>
        <w:pStyle w:val="ListNumber"/>
        <w:spacing w:after="40"/>
      </w:pPr>
      <w:r>
        <w:rPr>
          <w:rFonts w:ascii="Calibri" w:hAnsi="Calibri"/>
          <w:b w:val="0"/>
          <w:i w:val="0"/>
          <w:color w:val="222222"/>
          <w:sz w:val="20"/>
        </w:rPr>
        <w:t>Advanced Access asks a clinic to hold a daily buffer for same-day need. Where does the political resistance to “empty slots” come from, and how would you answer it?</w:t>
      </w:r>
    </w:p>
    <w:p>
      <w:pPr>
        <w:spacing w:before="160" w:after="40"/>
      </w:pPr>
      <w:r>
        <w:rPr>
          <w:rFonts w:ascii="Calibri" w:hAnsi="Calibri"/>
          <w:b/>
          <w:i w:val="0"/>
          <w:color w:val="1F3A5F"/>
          <w:sz w:val="22"/>
        </w:rPr>
        <w:t>Week 8 — Law 10 (Measurement Error)</w:t>
      </w:r>
    </w:p>
    <w:p>
      <w:pPr>
        <w:pStyle w:val="ListNumber"/>
        <w:spacing w:after="40"/>
      </w:pPr>
      <w:r>
        <w:rPr>
          <w:rFonts w:ascii="Calibri" w:hAnsi="Calibri"/>
          <w:b w:val="0"/>
          <w:i w:val="0"/>
          <w:color w:val="222222"/>
          <w:sz w:val="20"/>
        </w:rPr>
        <w:t>Goodhart’s Law: when a measure becomes a target, people optimize the number, not the goal. Name a metric in your organization that has been gamed in exactly this way. What behavior did it reward?</w:t>
      </w:r>
    </w:p>
    <w:p>
      <w:pPr>
        <w:pStyle w:val="ListNumber"/>
        <w:spacing w:after="40"/>
      </w:pPr>
      <w:r>
        <w:rPr>
          <w:rFonts w:ascii="Calibri" w:hAnsi="Calibri"/>
          <w:b w:val="0"/>
          <w:i w:val="0"/>
          <w:color w:val="222222"/>
          <w:sz w:val="20"/>
        </w:rPr>
        <w:t>The chapter warns that averages erase the hardest, costliest patients into the tail. Take one “healthy” average metric and describe the patient the average is hiding.</w:t>
      </w:r>
    </w:p>
    <w:p>
      <w:pPr>
        <w:pStyle w:val="ListNumber"/>
        <w:spacing w:after="40"/>
      </w:pPr>
      <w:r>
        <w:rPr>
          <w:rFonts w:ascii="Calibri" w:hAnsi="Calibri"/>
          <w:b w:val="0"/>
          <w:i w:val="0"/>
          <w:color w:val="222222"/>
          <w:sz w:val="20"/>
        </w:rPr>
        <w:t>Midterm synthesis: choose any two laws from Tiers I–II and show how one amplifies the other in a single unit.</w:t>
      </w:r>
    </w:p>
    <w:p>
      <w:pPr>
        <w:spacing w:before="160" w:after="40"/>
      </w:pPr>
      <w:r>
        <w:rPr>
          <w:rFonts w:ascii="Calibri" w:hAnsi="Calibri"/>
          <w:b/>
          <w:i w:val="0"/>
          <w:color w:val="1F3A5F"/>
          <w:sz w:val="22"/>
        </w:rPr>
        <w:t>Week 9 — Law 11 (Slack Requirement)</w:t>
      </w:r>
    </w:p>
    <w:p>
      <w:pPr>
        <w:pStyle w:val="ListNumber"/>
        <w:spacing w:after="40"/>
      </w:pPr>
      <w:r>
        <w:rPr>
          <w:rFonts w:ascii="Calibri" w:hAnsi="Calibri"/>
          <w:b w:val="0"/>
          <w:i w:val="0"/>
          <w:color w:val="222222"/>
          <w:sz w:val="20"/>
        </w:rPr>
        <w:t>“Bottlenecks are created by variance, not by averages.” Explain how a unit can average 78% occupancy and still fill its hallway twice a week.</w:t>
      </w:r>
    </w:p>
    <w:p>
      <w:pPr>
        <w:pStyle w:val="ListNumber"/>
        <w:spacing w:after="40"/>
      </w:pPr>
      <w:r>
        <w:rPr>
          <w:rFonts w:ascii="Calibri" w:hAnsi="Calibri"/>
          <w:b w:val="0"/>
          <w:i w:val="0"/>
          <w:color w:val="222222"/>
          <w:sz w:val="20"/>
        </w:rPr>
        <w:t>The book calls slack “the only space in which a system can learn.” What learning becomes impossible in a unit run at 100%? Give a concrete example of an improvement that would never happen.</w:t>
      </w:r>
    </w:p>
    <w:p>
      <w:pPr>
        <w:pStyle w:val="ListNumber"/>
        <w:spacing w:after="40"/>
      </w:pPr>
      <w:r>
        <w:rPr>
          <w:rFonts w:ascii="Calibri" w:hAnsi="Calibri"/>
          <w:b w:val="0"/>
          <w:i w:val="0"/>
          <w:color w:val="222222"/>
          <w:sz w:val="20"/>
        </w:rPr>
        <w:t>Using the Slack Sizing Worksheet logic, how would you decide how large a buffer a specific unit needs — and how would you defend that number to finance?</w:t>
      </w:r>
    </w:p>
    <w:p>
      <w:pPr>
        <w:spacing w:before="160" w:after="40"/>
      </w:pPr>
      <w:r>
        <w:rPr>
          <w:rFonts w:ascii="Calibri" w:hAnsi="Calibri"/>
          <w:b/>
          <w:i w:val="0"/>
          <w:color w:val="1F3A5F"/>
          <w:sz w:val="22"/>
        </w:rPr>
        <w:t>Week 10 — Law 12 (System Design)</w:t>
      </w:r>
    </w:p>
    <w:p>
      <w:pPr>
        <w:pStyle w:val="ListNumber"/>
        <w:spacing w:after="40"/>
      </w:pPr>
      <w:r>
        <w:rPr>
          <w:rFonts w:ascii="Calibri" w:hAnsi="Calibri"/>
          <w:b w:val="0"/>
          <w:i w:val="0"/>
          <w:color w:val="222222"/>
          <w:sz w:val="20"/>
        </w:rPr>
        <w:t>“Management is a technology”: within an industry, the best-run organizations are roughly twice as productive as the worst, and the practices pay off only as a bundle. What is the risk of adopting the book’s ideas piecemeal?</w:t>
      </w:r>
    </w:p>
    <w:p>
      <w:pPr>
        <w:pStyle w:val="ListNumber"/>
        <w:spacing w:after="40"/>
      </w:pPr>
      <w:r>
        <w:rPr>
          <w:rFonts w:ascii="Calibri" w:hAnsi="Calibri"/>
          <w:b w:val="0"/>
          <w:i w:val="0"/>
          <w:color w:val="222222"/>
          <w:sz w:val="20"/>
        </w:rPr>
        <w:t>“Global over local” means centralizing information and routing, not centralizing away the buffers. Distinguish a command center that helps from one that “just seizes the engine faster.”</w:t>
      </w:r>
    </w:p>
    <w:p>
      <w:pPr>
        <w:pStyle w:val="ListNumber"/>
        <w:spacing w:after="40"/>
      </w:pPr>
      <w:r>
        <w:rPr>
          <w:rFonts w:ascii="Calibri" w:hAnsi="Calibri"/>
          <w:b w:val="0"/>
          <w:i w:val="0"/>
          <w:color w:val="222222"/>
          <w:sz w:val="20"/>
        </w:rPr>
        <w:t>Identify a “local fix” in your setting that relocated a problem rather than removing it. Where did the failure reappear?</w:t>
      </w:r>
    </w:p>
    <w:p>
      <w:pPr>
        <w:spacing w:before="160" w:after="40"/>
      </w:pPr>
      <w:r>
        <w:rPr>
          <w:rFonts w:ascii="Calibri" w:hAnsi="Calibri"/>
          <w:b/>
          <w:i w:val="0"/>
          <w:color w:val="1F3A5F"/>
          <w:sz w:val="22"/>
        </w:rPr>
        <w:t>Week 11 — Ch. 13 (The System That Could Exist)</w:t>
      </w:r>
    </w:p>
    <w:p>
      <w:pPr>
        <w:pStyle w:val="ListNumber"/>
        <w:spacing w:after="40"/>
      </w:pPr>
      <w:r>
        <w:rPr>
          <w:rFonts w:ascii="Calibri" w:hAnsi="Calibri"/>
          <w:b w:val="0"/>
          <w:i w:val="0"/>
          <w:color w:val="222222"/>
          <w:sz w:val="20"/>
        </w:rPr>
        <w:t>This chapter is deliberately a future-state scenario, not a case report. Why does the author insist on the verbs “would,” “could,” “by design” — and what would be dishonest about writing it any other way?</w:t>
      </w:r>
    </w:p>
    <w:p>
      <w:pPr>
        <w:pStyle w:val="ListNumber"/>
        <w:spacing w:after="40"/>
      </w:pPr>
      <w:r>
        <w:rPr>
          <w:rFonts w:ascii="Calibri" w:hAnsi="Calibri"/>
          <w:b w:val="0"/>
          <w:i w:val="0"/>
          <w:color w:val="222222"/>
          <w:sz w:val="20"/>
        </w:rPr>
        <w:t>Pick one department in the portrait and identify which of the twelve laws it is enacting. What single design choice does the most work?</w:t>
      </w:r>
    </w:p>
    <w:p>
      <w:pPr>
        <w:pStyle w:val="ListNumber"/>
        <w:spacing w:after="40"/>
      </w:pPr>
      <w:r>
        <w:rPr>
          <w:rFonts w:ascii="Calibri" w:hAnsi="Calibri"/>
          <w:b w:val="0"/>
          <w:i w:val="0"/>
          <w:color w:val="222222"/>
          <w:sz w:val="20"/>
        </w:rPr>
        <w:t>The illustration explicitly refuses to promise the elimination of crowding. What, precisely, does it claim changes — and what stays the same?</w:t>
      </w:r>
    </w:p>
    <w:p>
      <w:pPr>
        <w:spacing w:before="160" w:after="40"/>
      </w:pPr>
      <w:r>
        <w:rPr>
          <w:rFonts w:ascii="Calibri" w:hAnsi="Calibri"/>
          <w:b/>
          <w:i w:val="0"/>
          <w:color w:val="1F3A5F"/>
          <w:sz w:val="22"/>
        </w:rPr>
        <w:t>Week 12 — Ch. 14 (Why Healthcare Fights the Laws)</w:t>
      </w:r>
    </w:p>
    <w:p>
      <w:pPr>
        <w:pStyle w:val="ListNumber"/>
        <w:spacing w:after="40"/>
      </w:pPr>
      <w:r>
        <w:rPr>
          <w:rFonts w:ascii="Calibri" w:hAnsi="Calibri"/>
          <w:b w:val="0"/>
          <w:i w:val="0"/>
          <w:color w:val="222222"/>
          <w:sz w:val="20"/>
        </w:rPr>
        <w:t>The Installation Myth mistakes a redesign for a one-time event. Describe a “90-day initiative” you have seen decay. Which specific buffer or role got quietly reclaimed first?</w:t>
      </w:r>
    </w:p>
    <w:p>
      <w:pPr>
        <w:pStyle w:val="ListNumber"/>
        <w:spacing w:after="40"/>
      </w:pPr>
      <w:r>
        <w:rPr>
          <w:rFonts w:ascii="Calibri" w:hAnsi="Calibri"/>
          <w:b w:val="0"/>
          <w:i w:val="0"/>
          <w:color w:val="222222"/>
          <w:sz w:val="20"/>
        </w:rPr>
        <w:t>The chapter argues fee-for-service can actively manufacture low-value work. How does the payment substrate shape whether a flow redesign survives?</w:t>
      </w:r>
    </w:p>
    <w:p>
      <w:pPr>
        <w:pStyle w:val="ListNumber"/>
        <w:spacing w:after="40"/>
      </w:pPr>
      <w:r>
        <w:rPr>
          <w:rFonts w:ascii="Calibri" w:hAnsi="Calibri"/>
          <w:b w:val="0"/>
          <w:i w:val="0"/>
          <w:color w:val="222222"/>
          <w:sz w:val="20"/>
        </w:rPr>
        <w:t>“The science of subtraction”: why is removing a process step experienced as a wound, and what would make subtraction feel safe to a team?</w:t>
      </w:r>
    </w:p>
    <w:p>
      <w:pPr>
        <w:spacing w:before="160" w:after="40"/>
      </w:pPr>
      <w:r>
        <w:rPr>
          <w:rFonts w:ascii="Calibri" w:hAnsi="Calibri"/>
          <w:b/>
          <w:i w:val="0"/>
          <w:color w:val="1F3A5F"/>
          <w:sz w:val="22"/>
        </w:rPr>
        <w:t>Week 13 — Ch. 15 (The Organizational Antibody)</w:t>
      </w:r>
    </w:p>
    <w:p>
      <w:pPr>
        <w:pStyle w:val="ListNumber"/>
        <w:spacing w:after="40"/>
      </w:pPr>
      <w:r>
        <w:rPr>
          <w:rFonts w:ascii="Calibri" w:hAnsi="Calibri"/>
          <w:b w:val="0"/>
          <w:i w:val="0"/>
          <w:color w:val="222222"/>
          <w:sz w:val="20"/>
        </w:rPr>
        <w:t>The antibody rarely kills reform by a vote; it kills by attrition. Design an early-warning indicator that would tell a Flow Architect the antibody is at work before the stretchers come back.</w:t>
      </w:r>
    </w:p>
    <w:p>
      <w:pPr>
        <w:pStyle w:val="ListNumber"/>
        <w:spacing w:after="40"/>
      </w:pPr>
      <w:r>
        <w:rPr>
          <w:rFonts w:ascii="Calibri" w:hAnsi="Calibri"/>
          <w:b w:val="0"/>
          <w:i w:val="0"/>
          <w:color w:val="222222"/>
          <w:sz w:val="20"/>
        </w:rPr>
        <w:t>Near a nonlinear threshold, half the required slack yields little of the result. Explain why a diluted pilot can produce a “false negative” and discredit a sound idea.</w:t>
      </w:r>
    </w:p>
    <w:p>
      <w:pPr>
        <w:pStyle w:val="ListNumber"/>
        <w:spacing w:after="40"/>
      </w:pPr>
      <w:r>
        <w:rPr>
          <w:rFonts w:ascii="Calibri" w:hAnsi="Calibri"/>
          <w:b w:val="0"/>
          <w:i w:val="0"/>
          <w:color w:val="222222"/>
          <w:sz w:val="20"/>
        </w:rPr>
        <w:t>Burnout is framed as largely structural. Which common wellness interventions does that framing call into question, and what structural change would you substitute?</w:t>
      </w:r>
    </w:p>
    <w:p>
      <w:pPr>
        <w:spacing w:before="160" w:after="40"/>
      </w:pPr>
      <w:r>
        <w:rPr>
          <w:rFonts w:ascii="Calibri" w:hAnsi="Calibri"/>
          <w:b/>
          <w:i w:val="0"/>
          <w:color w:val="1F3A5F"/>
          <w:sz w:val="22"/>
        </w:rPr>
        <w:t>Week 14 — Ch. 16 (The Flow Architect)</w:t>
      </w:r>
    </w:p>
    <w:p>
      <w:pPr>
        <w:pStyle w:val="ListNumber"/>
        <w:spacing w:after="40"/>
      </w:pPr>
      <w:r>
        <w:rPr>
          <w:rFonts w:ascii="Calibri" w:hAnsi="Calibri"/>
          <w:b w:val="0"/>
          <w:i w:val="0"/>
          <w:color w:val="222222"/>
          <w:sz w:val="20"/>
        </w:rPr>
        <w:t>The book’s final move is from Commander of the Work to Architect of the Flow. In your own words, what changes about a leader’s daily job in that transition?</w:t>
      </w:r>
    </w:p>
    <w:p>
      <w:pPr>
        <w:pStyle w:val="ListNumber"/>
        <w:spacing w:after="40"/>
      </w:pPr>
      <w:r>
        <w:rPr>
          <w:rFonts w:ascii="Calibri" w:hAnsi="Calibri"/>
          <w:b w:val="0"/>
          <w:i w:val="0"/>
          <w:color w:val="222222"/>
          <w:sz w:val="20"/>
        </w:rPr>
        <w:t>The Keystone central-line result drove a “tragic and inevitable” harm close to zero via a protected, engineered routine inside a deliberate culture. What made the checklist stick where other checklists fail?</w:t>
      </w:r>
    </w:p>
    <w:p>
      <w:pPr>
        <w:pStyle w:val="ListNumber"/>
        <w:spacing w:after="40"/>
      </w:pPr>
      <w:r>
        <w:rPr>
          <w:rFonts w:ascii="Calibri" w:hAnsi="Calibri"/>
          <w:b w:val="0"/>
          <w:i w:val="0"/>
          <w:color w:val="222222"/>
          <w:sz w:val="20"/>
        </w:rPr>
        <w:t>Capstone framing: of the twelve laws, which one is most violated in a system you know — and what is the first, smallest, most defensible design change you would protect against the antibody?</w:t>
      </w:r>
    </w:p>
    <w:p>
      <w:r>
        <w:br w:type="page"/>
      </w:r>
    </w:p>
    <w:p>
      <w:pPr>
        <w:spacing w:before="320" w:after="80"/>
      </w:pPr>
      <w:r>
        <w:rPr>
          <w:rFonts w:ascii="Calibri" w:hAnsi="Calibri"/>
          <w:b/>
          <w:i w:val="0"/>
          <w:color w:val="1F3A5F"/>
          <w:sz w:val="34"/>
        </w:rPr>
        <w:t>D.  Competency Mapping</w:t>
      </w:r>
    </w:p>
    <w:p>
      <w:pPr>
        <w:spacing w:before="0" w:after="160"/>
        <w:pBdr>
          <w:bottom w:val="single" w:sz="12" w:space="1" w:color="2C7A7B"/>
        </w:pBdr>
      </w:pPr>
    </w:p>
    <w:p>
      <w:pPr>
        <w:spacing w:after="120"/>
      </w:pPr>
      <w:r>
        <w:rPr>
          <w:rFonts w:ascii="Calibri" w:hAnsi="Calibri"/>
          <w:b w:val="0"/>
          <w:i w:val="0"/>
          <w:color w:val="222222"/>
          <w:sz w:val="21"/>
        </w:rPr>
        <w:t>Graduate healthcare-management programs are competency-based, but there is no single “official” master list that every program shares. Accreditation and the major professional frameworks work differently, and it is worth being precise about that before mapping anything.</w:t>
      </w:r>
    </w:p>
    <w:p>
      <w:pPr>
        <w:spacing w:before="220" w:after="60"/>
      </w:pPr>
      <w:r>
        <w:rPr>
          <w:rFonts w:ascii="Calibri" w:hAnsi="Calibri"/>
          <w:b/>
          <w:i w:val="0"/>
          <w:color w:val="2C7A7B"/>
          <w:sz w:val="25"/>
        </w:rPr>
        <w:t>How the recognized frameworks actually work (verified)</w:t>
      </w:r>
    </w:p>
    <w:p>
      <w:pPr>
        <w:pStyle w:val="ListBullet"/>
        <w:spacing w:after="60"/>
      </w:pPr>
      <w:r>
        <w:rPr>
          <w:rFonts w:ascii="Calibri" w:hAnsi="Calibri"/>
          <w:b/>
          <w:i w:val="0"/>
          <w:color w:val="1F3A5F"/>
          <w:sz w:val="21"/>
        </w:rPr>
        <w:t xml:space="preserve">CAHME. </w:t>
      </w:r>
      <w:r>
        <w:rPr>
          <w:rFonts w:ascii="Calibri" w:hAnsi="Calibri"/>
          <w:b w:val="0"/>
          <w:i w:val="0"/>
          <w:color w:val="222222"/>
          <w:sz w:val="21"/>
        </w:rPr>
        <w:t>CAHME accredits graduate healthcare-management programs and requires each program to define and assess its OWN competencies; it does not impose a fixed national competency list. In its own guidance, CAHME groups program competencies into five broad categories — knowledge of the healthcare system; communications and interpersonal effectiveness; critical thinking, analysis, and problem-solving; management and leadership; and professionalism and ethics — and frames them through a “BE–KNOW–DO” construct. Programs commonly build their own models on top of a published framework such as NCHL’s.</w:t>
      </w:r>
    </w:p>
    <w:p>
      <w:pPr>
        <w:pStyle w:val="ListBullet"/>
        <w:spacing w:after="60"/>
      </w:pPr>
      <w:r>
        <w:rPr>
          <w:rFonts w:ascii="Calibri" w:hAnsi="Calibri"/>
          <w:b/>
          <w:i w:val="0"/>
          <w:color w:val="1F3A5F"/>
          <w:sz w:val="21"/>
        </w:rPr>
        <w:t xml:space="preserve">ACHE. </w:t>
      </w:r>
      <w:r>
        <w:rPr>
          <w:rFonts w:ascii="Calibri" w:hAnsi="Calibri"/>
          <w:b w:val="0"/>
          <w:i w:val="0"/>
          <w:color w:val="222222"/>
          <w:sz w:val="21"/>
        </w:rPr>
        <w:t>The ACHE Healthcare Executive Competencies Assessment Tool, developed from the Healthcare Leadership Alliance job analysis, organizes leadership competencies into five domains: Communication and Relationship Management; Leadership; Professionalism; Knowledge of the Healthcare Environment; and Business Skills and Knowledge.</w:t>
      </w:r>
    </w:p>
    <w:p>
      <w:pPr>
        <w:pStyle w:val="ListBullet"/>
        <w:spacing w:after="60"/>
      </w:pPr>
      <w:r>
        <w:rPr>
          <w:rFonts w:ascii="Calibri" w:hAnsi="Calibri"/>
          <w:b/>
          <w:i w:val="0"/>
          <w:color w:val="1F3A5F"/>
          <w:sz w:val="21"/>
        </w:rPr>
        <w:t xml:space="preserve">NCHL. </w:t>
      </w:r>
      <w:r>
        <w:rPr>
          <w:rFonts w:ascii="Calibri" w:hAnsi="Calibri"/>
          <w:b w:val="0"/>
          <w:i w:val="0"/>
          <w:color w:val="222222"/>
          <w:sz w:val="21"/>
        </w:rPr>
        <w:t>The NCHL Health Leadership Competency Model (3.0) organizes 28 competencies into four “action” domains — Execution, Relations, Transformation, and Boundary Spanning — and three “enabling” domains — Health System Awareness &amp; Business Literacy, Self-Awareness &amp; Self-Development, and Values.</w:t>
      </w:r>
    </w:p>
    <w:p>
      <w:pPr>
        <w:spacing w:before="80" w:after="160"/>
        <w:pBdr>
          <w:left w:val="single" w:sz="18" w:space="12" w:color="1F3A5F"/>
        </w:pBdr>
        <w:shd w:val="clear" w:color="auto" w:fill="F2F4F7"/>
      </w:pPr>
      <w:r>
        <w:rPr>
          <w:rFonts w:ascii="Calibri" w:hAnsi="Calibri"/>
          <w:b/>
          <w:i w:val="0"/>
          <w:color w:val="1F3A5F"/>
          <w:sz w:val="21"/>
        </w:rPr>
        <w:t xml:space="preserve">Important: </w:t>
      </w:r>
      <w:r>
        <w:rPr>
          <w:rFonts w:ascii="Calibri" w:hAnsi="Calibri"/>
          <w:b w:val="0"/>
          <w:i/>
          <w:color w:val="222222"/>
          <w:sz w:val="20"/>
        </w:rPr>
        <w:t>the rows below are the author’s honest crosswalk, not an accreditation claim. This book is an operations text; it maps most directly onto the analytic, systems, and business-of-operations competencies and should be treated as one input a program aligns to its own competency model. Reproduce your program’s exact competency statements when you build your syllabus — do not substitute this table for them.</w:t>
      </w:r>
    </w:p>
    <w:p>
      <w:pPr>
        <w:spacing w:after="160"/>
      </w:pPr>
      <w:r>
        <w:rPr>
          <w:rFonts w:ascii="Calibri" w:hAnsi="Calibri"/>
          <w:b w:val="0"/>
          <w:i w:val="0"/>
          <w:color w:val="222222"/>
          <w:sz w:val="21"/>
        </w:rPr>
        <w:t>The mapping is organized by the book’s three tiers, since the tiers correspond to distinct competency clusters: Tier I builds analytic / systems-thinking competencies, Tier II builds operational and workforce-management competencies, and Tier III builds design, strategy, and change-leadership competencies.</w:t>
      </w:r>
    </w:p>
    <w:tbl>
      <w:tblPr>
        <w:tblStyle w:val="TableGrid"/>
        <w:tblW w:type="auto" w:w="0"/>
        <w:jc w:val="center"/>
        <w:tblLook w:firstColumn="1" w:firstRow="1" w:lastColumn="0" w:lastRow="0" w:noHBand="0" w:noVBand="1" w:val="04A0"/>
      </w:tblPr>
      <w:tblGrid>
        <w:gridCol w:w="3216"/>
        <w:gridCol w:w="3216"/>
        <w:gridCol w:w="3216"/>
      </w:tblGrid>
      <w:tr>
        <w:tc>
          <w:tcPr>
            <w:tcW w:type="dxa" w:w="2736"/>
            <w:shd w:val="clear" w:color="auto" w:fill="1F3A5F"/>
            <w:tcMar>
              <w:top w:w="60" w:type="dxa"/>
              <w:bottom w:w="60" w:type="dxa"/>
              <w:start w:w="90" w:type="dxa"/>
              <w:end w:w="90" w:type="dxa"/>
            </w:tcMar>
          </w:tcPr>
          <w:p>
            <w:pPr>
              <w:spacing w:after="0"/>
            </w:pPr>
            <w:r>
              <w:rPr>
                <w:rFonts w:ascii="Calibri" w:hAnsi="Calibri"/>
                <w:b/>
                <w:i w:val="0"/>
                <w:color w:val="FFFFFF"/>
                <w:sz w:val="19"/>
              </w:rPr>
              <w:t>Book module</w:t>
            </w:r>
          </w:p>
        </w:tc>
        <w:tc>
          <w:tcPr>
            <w:tcW w:type="dxa" w:w="3672"/>
            <w:shd w:val="clear" w:color="auto" w:fill="1F3A5F"/>
            <w:tcMar>
              <w:top w:w="60" w:type="dxa"/>
              <w:bottom w:w="60" w:type="dxa"/>
              <w:start w:w="90" w:type="dxa"/>
              <w:end w:w="90" w:type="dxa"/>
            </w:tcMar>
          </w:tcPr>
          <w:p>
            <w:pPr>
              <w:spacing w:after="0"/>
            </w:pPr>
            <w:r>
              <w:rPr>
                <w:rFonts w:ascii="Calibri" w:hAnsi="Calibri"/>
                <w:b/>
                <w:i w:val="0"/>
                <w:color w:val="FFFFFF"/>
                <w:sz w:val="19"/>
              </w:rPr>
              <w:t>Competency emphasis (generic)</w:t>
            </w:r>
          </w:p>
        </w:tc>
        <w:tc>
          <w:tcPr>
            <w:tcW w:type="dxa" w:w="5112"/>
            <w:shd w:val="clear" w:color="auto" w:fill="1F3A5F"/>
            <w:tcMar>
              <w:top w:w="60" w:type="dxa"/>
              <w:bottom w:w="60" w:type="dxa"/>
              <w:start w:w="90" w:type="dxa"/>
              <w:end w:w="90" w:type="dxa"/>
            </w:tcMar>
          </w:tcPr>
          <w:p>
            <w:pPr>
              <w:spacing w:after="0"/>
            </w:pPr>
            <w:r>
              <w:rPr>
                <w:rFonts w:ascii="Calibri" w:hAnsi="Calibri"/>
                <w:b/>
                <w:i w:val="0"/>
                <w:color w:val="FFFFFF"/>
                <w:sz w:val="19"/>
              </w:rPr>
              <w:t>Alignment with recognized frameworks</w:t>
            </w:r>
          </w:p>
        </w:tc>
      </w:tr>
      <w:tr>
        <w:tc>
          <w:tcPr>
            <w:tcW w:type="dxa" w:w="2736"/>
            <w:shd w:val="clear" w:color="auto" w:fill="F2F4F7"/>
            <w:tcMar>
              <w:top w:w="60" w:type="dxa"/>
              <w:bottom w:w="60" w:type="dxa"/>
              <w:start w:w="90" w:type="dxa"/>
              <w:end w:w="90" w:type="dxa"/>
            </w:tcMar>
          </w:tcPr>
          <w:p>
            <w:pPr>
              <w:spacing w:after="0"/>
            </w:pPr>
            <w:r>
              <w:rPr>
                <w:rFonts w:ascii="Calibri" w:hAnsi="Calibri"/>
                <w:b/>
                <w:i w:val="0"/>
                <w:color w:val="1F3A5F"/>
                <w:sz w:val="18"/>
              </w:rPr>
              <w:t>Tier I — Physics of Flow (Laws 1–5)  ·  Chs. 1–5</w:t>
            </w:r>
          </w:p>
        </w:tc>
        <w:tc>
          <w:tcPr>
            <w:tcW w:type="dxa" w:w="3672"/>
            <w:shd w:val="clear" w:color="auto" w:fill="F2F4F7"/>
            <w:tcMar>
              <w:top w:w="60" w:type="dxa"/>
              <w:bottom w:w="60" w:type="dxa"/>
              <w:start w:w="90" w:type="dxa"/>
              <w:end w:w="90" w:type="dxa"/>
            </w:tcMar>
          </w:tcPr>
          <w:p>
            <w:pPr>
              <w:spacing w:after="0"/>
            </w:pPr>
            <w:r>
              <w:rPr>
                <w:rFonts w:ascii="Calibri" w:hAnsi="Calibri"/>
                <w:b w:val="0"/>
                <w:i w:val="0"/>
                <w:color w:val="222222"/>
                <w:sz w:val="18"/>
              </w:rPr>
              <w:t>Critical thinking, analysis &amp; problem-solving; systems thinking; knowledge of the healthcare environment.</w:t>
            </w:r>
          </w:p>
        </w:tc>
        <w:tc>
          <w:tcPr>
            <w:tcW w:type="dxa" w:w="5112"/>
            <w:shd w:val="clear" w:color="auto" w:fill="F2F4F7"/>
            <w:tcMar>
              <w:top w:w="60" w:type="dxa"/>
              <w:bottom w:w="60" w:type="dxa"/>
              <w:start w:w="90" w:type="dxa"/>
              <w:end w:w="90" w:type="dxa"/>
            </w:tcMar>
          </w:tcPr>
          <w:p>
            <w:pPr>
              <w:spacing w:after="0"/>
            </w:pPr>
            <w:r>
              <w:rPr>
                <w:rFonts w:ascii="Calibri" w:hAnsi="Calibri"/>
                <w:b w:val="0"/>
                <w:i w:val="0"/>
                <w:color w:val="222222"/>
                <w:sz w:val="17"/>
              </w:rPr>
              <w:t>CAHME: critical thinking, analysis &amp; problem-solving; knowledge of the healthcare system.  ACHE: Knowledge of the Healthcare Environment; Business Skills &amp; Knowledge (analytic/quantitative).  NCHL: Health System Awareness &amp; Business Literacy; Boundary Spanning.</w:t>
            </w:r>
          </w:p>
        </w:tc>
      </w:tr>
      <w:tr>
        <w:tc>
          <w:tcPr>
            <w:tcW w:type="dxa" w:w="2736"/>
            <w:shd w:val="clear" w:color="auto" w:fill="FFFFFF"/>
            <w:tcMar>
              <w:top w:w="60" w:type="dxa"/>
              <w:bottom w:w="60" w:type="dxa"/>
              <w:start w:w="90" w:type="dxa"/>
              <w:end w:w="90" w:type="dxa"/>
            </w:tcMar>
          </w:tcPr>
          <w:p>
            <w:pPr>
              <w:spacing w:after="0"/>
            </w:pPr>
            <w:r>
              <w:rPr>
                <w:rFonts w:ascii="Calibri" w:hAnsi="Calibri"/>
                <w:b/>
                <w:i w:val="0"/>
                <w:color w:val="1F3A5F"/>
                <w:sz w:val="18"/>
              </w:rPr>
              <w:t>Tier II — Structural Constraints (Laws 6–10)  ·  Chs. 6–10</w:t>
            </w:r>
          </w:p>
        </w:tc>
        <w:tc>
          <w:tcPr>
            <w:tcW w:type="dxa" w:w="3672"/>
            <w:shd w:val="clear" w:color="auto" w:fill="FFFFFF"/>
            <w:tcMar>
              <w:top w:w="60" w:type="dxa"/>
              <w:bottom w:w="60" w:type="dxa"/>
              <w:start w:w="90" w:type="dxa"/>
              <w:end w:w="90" w:type="dxa"/>
            </w:tcMar>
          </w:tcPr>
          <w:p>
            <w:pPr>
              <w:spacing w:after="0"/>
            </w:pPr>
            <w:r>
              <w:rPr>
                <w:rFonts w:ascii="Calibri" w:hAnsi="Calibri"/>
                <w:b w:val="0"/>
                <w:i w:val="0"/>
                <w:color w:val="222222"/>
                <w:sz w:val="18"/>
              </w:rPr>
              <w:t>Operations &amp; process management; workforce/human-capital management; performance measurement; communication and relationship management.</w:t>
            </w:r>
          </w:p>
        </w:tc>
        <w:tc>
          <w:tcPr>
            <w:tcW w:type="dxa" w:w="5112"/>
            <w:shd w:val="clear" w:color="auto" w:fill="FFFFFF"/>
            <w:tcMar>
              <w:top w:w="60" w:type="dxa"/>
              <w:bottom w:w="60" w:type="dxa"/>
              <w:start w:w="90" w:type="dxa"/>
              <w:end w:w="90" w:type="dxa"/>
            </w:tcMar>
          </w:tcPr>
          <w:p>
            <w:pPr>
              <w:spacing w:after="0"/>
            </w:pPr>
            <w:r>
              <w:rPr>
                <w:rFonts w:ascii="Calibri" w:hAnsi="Calibri"/>
                <w:b w:val="0"/>
                <w:i w:val="0"/>
                <w:color w:val="222222"/>
                <w:sz w:val="17"/>
              </w:rPr>
              <w:t>CAHME: management and leadership; communications and interpersonal effectiveness.  ACHE: Communication &amp; Relationship Management; Business Skills &amp; Knowledge (operations, HR, quality/measurement).  NCHL: Execution; Relations.</w:t>
            </w:r>
          </w:p>
        </w:tc>
      </w:tr>
      <w:tr>
        <w:tc>
          <w:tcPr>
            <w:tcW w:type="dxa" w:w="2736"/>
            <w:shd w:val="clear" w:color="auto" w:fill="F2F4F7"/>
            <w:tcMar>
              <w:top w:w="60" w:type="dxa"/>
              <w:bottom w:w="60" w:type="dxa"/>
              <w:start w:w="90" w:type="dxa"/>
              <w:end w:w="90" w:type="dxa"/>
            </w:tcMar>
          </w:tcPr>
          <w:p>
            <w:pPr>
              <w:spacing w:after="0"/>
            </w:pPr>
            <w:r>
              <w:rPr>
                <w:rFonts w:ascii="Calibri" w:hAnsi="Calibri"/>
                <w:b/>
                <w:i w:val="0"/>
                <w:color w:val="1F3A5F"/>
                <w:sz w:val="18"/>
              </w:rPr>
              <w:t>Tier III — Designing for Reliability (Laws 11–12)  ·  Chs. 11–12</w:t>
            </w:r>
          </w:p>
        </w:tc>
        <w:tc>
          <w:tcPr>
            <w:tcW w:type="dxa" w:w="3672"/>
            <w:shd w:val="clear" w:color="auto" w:fill="F2F4F7"/>
            <w:tcMar>
              <w:top w:w="60" w:type="dxa"/>
              <w:bottom w:w="60" w:type="dxa"/>
              <w:start w:w="90" w:type="dxa"/>
              <w:end w:w="90" w:type="dxa"/>
            </w:tcMar>
          </w:tcPr>
          <w:p>
            <w:pPr>
              <w:spacing w:after="0"/>
            </w:pPr>
            <w:r>
              <w:rPr>
                <w:rFonts w:ascii="Calibri" w:hAnsi="Calibri"/>
                <w:b w:val="0"/>
                <w:i w:val="0"/>
                <w:color w:val="222222"/>
                <w:sz w:val="18"/>
              </w:rPr>
              <w:t>Systems design; strategic orientation; financial/business-case reasoning; organizational design.</w:t>
            </w:r>
          </w:p>
        </w:tc>
        <w:tc>
          <w:tcPr>
            <w:tcW w:type="dxa" w:w="5112"/>
            <w:shd w:val="clear" w:color="auto" w:fill="F2F4F7"/>
            <w:tcMar>
              <w:top w:w="60" w:type="dxa"/>
              <w:bottom w:w="60" w:type="dxa"/>
              <w:start w:w="90" w:type="dxa"/>
              <w:end w:w="90" w:type="dxa"/>
            </w:tcMar>
          </w:tcPr>
          <w:p>
            <w:pPr>
              <w:spacing w:after="0"/>
            </w:pPr>
            <w:r>
              <w:rPr>
                <w:rFonts w:ascii="Calibri" w:hAnsi="Calibri"/>
                <w:b w:val="0"/>
                <w:i w:val="0"/>
                <w:color w:val="222222"/>
                <w:sz w:val="17"/>
              </w:rPr>
              <w:t>CAHME: management and leadership; critical thinking &amp; analysis.  ACHE: Leadership; Business Skills &amp; Knowledge (strategy, finance).  NCHL: Execution; Transformation.</w:t>
            </w:r>
          </w:p>
        </w:tc>
      </w:tr>
      <w:tr>
        <w:tc>
          <w:tcPr>
            <w:tcW w:type="dxa" w:w="2736"/>
            <w:shd w:val="clear" w:color="auto" w:fill="FFFFFF"/>
            <w:tcMar>
              <w:top w:w="60" w:type="dxa"/>
              <w:bottom w:w="60" w:type="dxa"/>
              <w:start w:w="90" w:type="dxa"/>
              <w:end w:w="90" w:type="dxa"/>
            </w:tcMar>
          </w:tcPr>
          <w:p>
            <w:pPr>
              <w:spacing w:after="0"/>
            </w:pPr>
            <w:r>
              <w:rPr>
                <w:rFonts w:ascii="Calibri" w:hAnsi="Calibri"/>
                <w:b/>
                <w:i w:val="0"/>
                <w:color w:val="1F3A5F"/>
                <w:sz w:val="18"/>
              </w:rPr>
              <w:t>Leading Change (Chs. 14–16)</w:t>
            </w:r>
          </w:p>
        </w:tc>
        <w:tc>
          <w:tcPr>
            <w:tcW w:type="dxa" w:w="3672"/>
            <w:shd w:val="clear" w:color="auto" w:fill="FFFFFF"/>
            <w:tcMar>
              <w:top w:w="60" w:type="dxa"/>
              <w:bottom w:w="60" w:type="dxa"/>
              <w:start w:w="90" w:type="dxa"/>
              <w:end w:w="90" w:type="dxa"/>
            </w:tcMar>
          </w:tcPr>
          <w:p>
            <w:pPr>
              <w:spacing w:after="0"/>
            </w:pPr>
            <w:r>
              <w:rPr>
                <w:rFonts w:ascii="Calibri" w:hAnsi="Calibri"/>
                <w:b w:val="0"/>
                <w:i w:val="0"/>
                <w:color w:val="222222"/>
                <w:sz w:val="18"/>
              </w:rPr>
              <w:t>Change leadership; professionalism and ethics; leading self and others; sustaining improvement.</w:t>
            </w:r>
          </w:p>
        </w:tc>
        <w:tc>
          <w:tcPr>
            <w:tcW w:type="dxa" w:w="5112"/>
            <w:shd w:val="clear" w:color="auto" w:fill="FFFFFF"/>
            <w:tcMar>
              <w:top w:w="60" w:type="dxa"/>
              <w:bottom w:w="60" w:type="dxa"/>
              <w:start w:w="90" w:type="dxa"/>
              <w:end w:w="90" w:type="dxa"/>
            </w:tcMar>
          </w:tcPr>
          <w:p>
            <w:pPr>
              <w:spacing w:after="0"/>
            </w:pPr>
            <w:r>
              <w:rPr>
                <w:rFonts w:ascii="Calibri" w:hAnsi="Calibri"/>
                <w:b w:val="0"/>
                <w:i w:val="0"/>
                <w:color w:val="222222"/>
                <w:sz w:val="17"/>
              </w:rPr>
              <w:t>CAHME: management and leadership; professionalism and ethics (the “BE” and “DO” domains).  ACHE: Leadership; Professionalism.  NCHL: Transformation; Self-Awareness &amp; Self-Development; Values.</w:t>
            </w:r>
          </w:p>
        </w:tc>
      </w:tr>
    </w:tbl>
    <w:p>
      <w:pPr>
        <w:spacing w:after="120"/>
      </w:pPr>
      <w:r>
        <w:rPr>
          <w:rFonts w:ascii="Calibri" w:hAnsi="Calibri"/>
          <w:b w:val="0"/>
          <w:i w:val="0"/>
          <w:color w:val="222222"/>
          <w:sz w:val="21"/>
        </w:rPr>
        <w:t>For DNP audiences, the same modules support the systems-leadership, quality-improvement, and health-systems / organizational-and-systems-leadership expectations of AACN’s DNP Essentials — again as an operations input a program aligns to its own competency statements, not as a substitute for them.</w:t>
      </w:r>
    </w:p>
    <w:p>
      <w:r>
        <w:br w:type="page"/>
      </w:r>
    </w:p>
    <w:p>
      <w:pPr>
        <w:spacing w:before="320" w:after="80"/>
      </w:pPr>
      <w:r>
        <w:rPr>
          <w:rFonts w:ascii="Calibri" w:hAnsi="Calibri"/>
          <w:b/>
          <w:i w:val="0"/>
          <w:color w:val="1F3A5F"/>
          <w:sz w:val="34"/>
        </w:rPr>
        <w:t>E.  Suggested Assignments &amp; Assessments</w:t>
      </w:r>
    </w:p>
    <w:p>
      <w:pPr>
        <w:spacing w:before="0" w:after="160"/>
        <w:pBdr>
          <w:bottom w:val="single" w:sz="12" w:space="1" w:color="2C7A7B"/>
        </w:pBdr>
      </w:pPr>
    </w:p>
    <w:p>
      <w:pPr>
        <w:spacing w:after="120"/>
      </w:pPr>
      <w:r>
        <w:rPr>
          <w:rFonts w:ascii="Calibri" w:hAnsi="Calibri"/>
          <w:b w:val="0"/>
          <w:i w:val="0"/>
          <w:color w:val="222222"/>
          <w:sz w:val="21"/>
        </w:rPr>
        <w:t>Five graded deliverables, scaled from short applied exercises to a semester capstone. Each is built to be completed with the book plus the free companion tools, and each produces work a student could show a real employer. Point weightings are suggestions; adapt to your syllabus.</w:t>
      </w:r>
    </w:p>
    <w:p>
      <w:pPr>
        <w:spacing w:before="160" w:after="40"/>
      </w:pPr>
      <w:r>
        <w:rPr>
          <w:rFonts w:ascii="Calibri" w:hAnsi="Calibri"/>
          <w:b/>
          <w:i w:val="0"/>
          <w:color w:val="1F3A5F"/>
          <w:sz w:val="22"/>
        </w:rPr>
        <w:t>1.  Operating-Envelope Field Analysis  (individual, ~15%)</w:t>
      </w:r>
    </w:p>
    <w:p>
      <w:pPr>
        <w:spacing w:after="60" w:before="20"/>
      </w:pPr>
      <w:r>
        <w:rPr>
          <w:rFonts w:ascii="Calibri" w:hAnsi="Calibri"/>
          <w:b w:val="0"/>
          <w:i/>
          <w:color w:val="2C7A7B"/>
          <w:sz w:val="19"/>
        </w:rPr>
        <w:t>Pairs with: Ch. 2 (Law 2); Diagnostic Workbook → Operating-Envelope Plotter.</w:t>
      </w:r>
    </w:p>
    <w:p>
      <w:pPr>
        <w:pStyle w:val="ListBullet"/>
        <w:spacing w:after="60"/>
      </w:pPr>
      <w:r>
        <w:rPr>
          <w:rFonts w:ascii="Calibri" w:hAnsi="Calibri"/>
          <w:b w:val="0"/>
          <w:i w:val="0"/>
          <w:color w:val="222222"/>
          <w:sz w:val="20"/>
        </w:rPr>
        <w:t>Have each student choose a real unit they can observe or obtain data for (an ED, an OR block, a med-surg floor, or a clinic panel). Using the Operating-Envelope Plotter, they enter paired observations of utilization/occupancy and the wait or boarding hours actually experienced, then locate the inflection where the curve turns sharply upward.</w:t>
      </w:r>
    </w:p>
    <w:p>
      <w:pPr>
        <w:pStyle w:val="ListBullet"/>
        <w:spacing w:after="60"/>
      </w:pPr>
      <w:r>
        <w:rPr>
          <w:rFonts w:ascii="Calibri" w:hAnsi="Calibri"/>
          <w:b w:val="0"/>
          <w:i w:val="0"/>
          <w:color w:val="222222"/>
          <w:sz w:val="20"/>
        </w:rPr>
        <w:t>Deliverable: a 4–6 page memo identifying the unit’s own operating limit, explaining why it is not simply “85%,” and recommending one change. Assess whether the student correctly distinguishes the heuristic from a measured, unit-specific limit.</w:t>
      </w:r>
    </w:p>
    <w:p>
      <w:pPr>
        <w:spacing w:before="160" w:after="40"/>
      </w:pPr>
      <w:r>
        <w:rPr>
          <w:rFonts w:ascii="Calibri" w:hAnsi="Calibri"/>
          <w:b/>
          <w:i w:val="0"/>
          <w:color w:val="1F3A5F"/>
          <w:sz w:val="22"/>
        </w:rPr>
        <w:t>2.  Capacity Business-Case Memo to the Board  (individual, ~20%)</w:t>
      </w:r>
    </w:p>
    <w:p>
      <w:pPr>
        <w:spacing w:after="60" w:before="20"/>
      </w:pPr>
      <w:r>
        <w:rPr>
          <w:rFonts w:ascii="Calibri" w:hAnsi="Calibri"/>
          <w:b w:val="0"/>
          <w:i/>
          <w:color w:val="2C7A7B"/>
          <w:sz w:val="19"/>
        </w:rPr>
        <w:t>Pairs with: Chs. 8, 11, 12 (Laws 8, 11, 12); Board Business-Case ROI Calculator.</w:t>
      </w:r>
    </w:p>
    <w:p>
      <w:pPr>
        <w:pStyle w:val="ListBullet"/>
        <w:spacing w:after="60"/>
      </w:pPr>
      <w:r>
        <w:rPr>
          <w:rFonts w:ascii="Calibri" w:hAnsi="Calibri"/>
          <w:b w:val="0"/>
          <w:i w:val="0"/>
          <w:color w:val="222222"/>
          <w:sz w:val="20"/>
        </w:rPr>
        <w:t>Students use the ROI Calculator to build a first-pass estimate of what ED boarding and left-without-being-seen are costing a chosen organization annually, then compare that to the cost of a protected buffer or flexible-staffing investment. They must run the Conservative / Moderate / Aggressive sensitivity band rather than defend a single point estimate.</w:t>
      </w:r>
    </w:p>
    <w:p>
      <w:pPr>
        <w:pStyle w:val="ListBullet"/>
        <w:spacing w:after="60"/>
      </w:pPr>
      <w:r>
        <w:rPr>
          <w:rFonts w:ascii="Calibri" w:hAnsi="Calibri"/>
          <w:b w:val="0"/>
          <w:i w:val="0"/>
          <w:color w:val="222222"/>
          <w:sz w:val="20"/>
        </w:rPr>
        <w:t>Deliverable: a board-ready 2–3 page business-case memo plus the populated calculator. Grade on transparency of assumptions, correct use of the sensitivity range, and whether the recommendation follows from the numbers.</w:t>
      </w:r>
    </w:p>
    <w:p>
      <w:pPr>
        <w:spacing w:before="160" w:after="40"/>
      </w:pPr>
      <w:r>
        <w:rPr>
          <w:rFonts w:ascii="Calibri" w:hAnsi="Calibri"/>
          <w:b/>
          <w:i w:val="0"/>
          <w:color w:val="1F3A5F"/>
          <w:sz w:val="22"/>
        </w:rPr>
        <w:t>3.  Discharge-Bottleneck Root-Cause &amp; Redesign  (small group, ~15%)</w:t>
      </w:r>
    </w:p>
    <w:p>
      <w:pPr>
        <w:spacing w:after="60" w:before="20"/>
      </w:pPr>
      <w:r>
        <w:rPr>
          <w:rFonts w:ascii="Calibri" w:hAnsi="Calibri"/>
          <w:b w:val="0"/>
          <w:i/>
          <w:color w:val="2C7A7B"/>
          <w:sz w:val="19"/>
        </w:rPr>
        <w:t>Pairs with: Ch. 8 (Law 8); Discharge-by-Noon Implementation Kit + Daily Checklist.</w:t>
      </w:r>
    </w:p>
    <w:p>
      <w:pPr>
        <w:pStyle w:val="ListBullet"/>
        <w:spacing w:after="60"/>
      </w:pPr>
      <w:r>
        <w:rPr>
          <w:rFonts w:ascii="Calibri" w:hAnsi="Calibri"/>
          <w:b w:val="0"/>
          <w:i w:val="0"/>
          <w:color w:val="222222"/>
          <w:sz w:val="20"/>
        </w:rPr>
        <w:t>Groups map the discharge process for a real or well-documented unit, classify each delay as internal-designable versus external, and target one internal driver to move the median discharge order earlier (the “Noon Cliff”).</w:t>
      </w:r>
    </w:p>
    <w:p>
      <w:pPr>
        <w:pStyle w:val="ListBullet"/>
        <w:spacing w:after="60"/>
      </w:pPr>
      <w:r>
        <w:rPr>
          <w:rFonts w:ascii="Calibri" w:hAnsi="Calibri"/>
          <w:b w:val="0"/>
          <w:i w:val="0"/>
          <w:color w:val="222222"/>
          <w:sz w:val="20"/>
        </w:rPr>
        <w:t>Deliverable: a current-state process map, a delay taxonomy, and a one-page intervention plan with a named owner and a measure. Assess the internal/external distinction and the realism of the redesign.</w:t>
      </w:r>
    </w:p>
    <w:p>
      <w:pPr>
        <w:spacing w:before="160" w:after="40"/>
      </w:pPr>
      <w:r>
        <w:rPr>
          <w:rFonts w:ascii="Calibri" w:hAnsi="Calibri"/>
          <w:b/>
          <w:i w:val="0"/>
          <w:color w:val="1F3A5F"/>
          <w:sz w:val="22"/>
        </w:rPr>
        <w:t>4.  Flow-Risk Diagnostic &amp; Prioritized Reading Plan  (individual, ~10%)</w:t>
      </w:r>
    </w:p>
    <w:p>
      <w:pPr>
        <w:spacing w:after="60" w:before="20"/>
      </w:pPr>
      <w:r>
        <w:rPr>
          <w:rFonts w:ascii="Calibri" w:hAnsi="Calibri"/>
          <w:b w:val="0"/>
          <w:i/>
          <w:color w:val="2C7A7B"/>
          <w:sz w:val="19"/>
        </w:rPr>
        <w:t>Pairs with: Introduction and Chs. 1–12; Flow Risk Screener.</w:t>
      </w:r>
    </w:p>
    <w:p>
      <w:pPr>
        <w:pStyle w:val="ListBullet"/>
        <w:spacing w:after="60"/>
      </w:pPr>
      <w:r>
        <w:rPr>
          <w:rFonts w:ascii="Calibri" w:hAnsi="Calibri"/>
          <w:b w:val="0"/>
          <w:i w:val="0"/>
          <w:color w:val="222222"/>
          <w:sz w:val="20"/>
        </w:rPr>
        <w:t>Early in the term, students score a unit on all twelve laws using the Flow Risk Screener, producing per-tier subtotals and a fragility profile. Late in the term they re-score the same unit and reflect on what moved and why.</w:t>
      </w:r>
    </w:p>
    <w:p>
      <w:pPr>
        <w:pStyle w:val="ListBullet"/>
        <w:spacing w:after="60"/>
      </w:pPr>
      <w:r>
        <w:rPr>
          <w:rFonts w:ascii="Calibri" w:hAnsi="Calibri"/>
          <w:b w:val="0"/>
          <w:i w:val="0"/>
          <w:color w:val="222222"/>
          <w:sz w:val="20"/>
        </w:rPr>
        <w:t>Deliverable: the two profiles plus a short reflection connecting the highest-risk law to the specific chapter evidence. This doubles as a low-stakes book-comprehension check.</w:t>
      </w:r>
    </w:p>
    <w:p>
      <w:pPr>
        <w:spacing w:before="160" w:after="40"/>
      </w:pPr>
      <w:r>
        <w:rPr>
          <w:rFonts w:ascii="Calibri" w:hAnsi="Calibri"/>
          <w:b/>
          <w:i w:val="0"/>
          <w:color w:val="1F3A5F"/>
          <w:sz w:val="22"/>
        </w:rPr>
        <w:t>5.  Flow-Architect Capstone: Diagnose → Design → Sustain  (individual or team, ~30%)</w:t>
      </w:r>
    </w:p>
    <w:p>
      <w:pPr>
        <w:spacing w:after="60" w:before="20"/>
      </w:pPr>
      <w:r>
        <w:rPr>
          <w:rFonts w:ascii="Calibri" w:hAnsi="Calibri"/>
          <w:b w:val="0"/>
          <w:i/>
          <w:color w:val="2C7A7B"/>
          <w:sz w:val="19"/>
        </w:rPr>
        <w:t>Pairs with: Chs. 13–16 (Laws 11–12 and the change chapters).</w:t>
      </w:r>
    </w:p>
    <w:p>
      <w:pPr>
        <w:pStyle w:val="ListBullet"/>
        <w:spacing w:after="60"/>
      </w:pPr>
      <w:r>
        <w:rPr>
          <w:rFonts w:ascii="Calibri" w:hAnsi="Calibri"/>
          <w:b w:val="0"/>
          <w:i w:val="0"/>
          <w:color w:val="222222"/>
          <w:sz w:val="20"/>
        </w:rPr>
        <w:t>The integrative deliverable. Students take one real system, diagnose which of the twelve laws it most violates (with evidence), design a specific reliability intervention (buffer sizing, team-stability change, access redesign, or measurement redesign), and — critically — write an anti-antibody sustainment plan: how the change survives the finance reclaim, the diluted pilot, and the quiet non-renewal described in Chs. 14–15.</w:t>
      </w:r>
    </w:p>
    <w:p>
      <w:pPr>
        <w:pStyle w:val="ListBullet"/>
        <w:spacing w:after="60"/>
      </w:pPr>
      <w:r>
        <w:rPr>
          <w:rFonts w:ascii="Calibri" w:hAnsi="Calibri"/>
          <w:b w:val="0"/>
          <w:i w:val="0"/>
          <w:color w:val="222222"/>
          <w:sz w:val="20"/>
        </w:rPr>
        <w:t>Deliverable: a 10–12 page systems-design brief plus a short presentation. Grade on evidence use, the coherence of the design as a bundle (not a local fix), and the seriousness of the sustainment plan.</w:t>
      </w:r>
    </w:p>
    <w:p>
      <w:pPr>
        <w:spacing w:before="120" w:after="160"/>
        <w:pBdr>
          <w:left w:val="single" w:sz="18" w:space="12" w:color="2C7A7B"/>
        </w:pBdr>
        <w:shd w:val="clear" w:color="auto" w:fill="E7F1F1"/>
      </w:pPr>
      <w:r>
        <w:rPr>
          <w:rFonts w:ascii="Calibri" w:hAnsi="Calibri"/>
          <w:b/>
          <w:i w:val="0"/>
          <w:color w:val="1F3A5F"/>
          <w:sz w:val="21"/>
        </w:rPr>
        <w:t xml:space="preserve">Discussion-board option: </w:t>
      </w:r>
      <w:r>
        <w:rPr>
          <w:rFonts w:ascii="Calibri" w:hAnsi="Calibri"/>
          <w:b w:val="0"/>
          <w:i/>
          <w:color w:val="222222"/>
          <w:sz w:val="21"/>
        </w:rPr>
        <w:t>any weekly question set in Section C converts directly into an online-thread assignment — assign one required post plus two evidence-based replies, and grade against the book’s cited literature.</w:t>
      </w:r>
    </w:p>
    <w:p>
      <w:pPr>
        <w:spacing w:before="320" w:after="80"/>
      </w:pPr>
      <w:r>
        <w:rPr>
          <w:rFonts w:ascii="Calibri" w:hAnsi="Calibri"/>
          <w:b/>
          <w:i w:val="0"/>
          <w:color w:val="1F3A5F"/>
          <w:sz w:val="34"/>
        </w:rPr>
        <w:t>F.  The Full Instructor’s Manual</w:t>
      </w:r>
    </w:p>
    <w:p>
      <w:pPr>
        <w:spacing w:before="0" w:after="160"/>
        <w:pBdr>
          <w:bottom w:val="single" w:sz="12" w:space="1" w:color="2C7A7B"/>
        </w:pBdr>
      </w:pPr>
    </w:p>
    <w:p>
      <w:pPr>
        <w:spacing w:after="120"/>
      </w:pPr>
      <w:r>
        <w:rPr>
          <w:rFonts w:ascii="Calibri" w:hAnsi="Calibri"/>
          <w:b w:val="0"/>
          <w:i w:val="0"/>
          <w:color w:val="222222"/>
          <w:sz w:val="21"/>
        </w:rPr>
        <w:t>This toolkit is the free, self-serve starting point. A full Instructor’s Manual is in development for adopting programs, and will include:</w:t>
      </w:r>
    </w:p>
    <w:p>
      <w:pPr>
        <w:pStyle w:val="ListBullet"/>
        <w:spacing w:after="60"/>
      </w:pPr>
      <w:r>
        <w:rPr>
          <w:rFonts w:ascii="Calibri" w:hAnsi="Calibri"/>
          <w:b w:val="0"/>
          <w:i w:val="0"/>
          <w:color w:val="222222"/>
          <w:sz w:val="21"/>
        </w:rPr>
        <w:t>A test bank of multiple-choice, short-answer, and application items, organized by law and by competency, with answer keys and rationale.</w:t>
      </w:r>
    </w:p>
    <w:p>
      <w:pPr>
        <w:pStyle w:val="ListBullet"/>
        <w:spacing w:after="60"/>
      </w:pPr>
      <w:r>
        <w:rPr>
          <w:rFonts w:ascii="Calibri" w:hAnsi="Calibri"/>
          <w:b w:val="0"/>
          <w:i w:val="0"/>
          <w:color w:val="222222"/>
          <w:sz w:val="21"/>
        </w:rPr>
        <w:t>Editable lecture slide decks for all sixteen chapters, drawn from the book’s signature navy/teal exhibit set (the Utilization Cliff, the Variability Cascade, the fragility curve, the twelve-laws causal map, and the future-state portrait).</w:t>
      </w:r>
    </w:p>
    <w:p>
      <w:pPr>
        <w:pStyle w:val="ListBullet"/>
        <w:spacing w:after="60"/>
      </w:pPr>
      <w:r>
        <w:rPr>
          <w:rFonts w:ascii="Calibri" w:hAnsi="Calibri"/>
          <w:b w:val="0"/>
          <w:i w:val="0"/>
          <w:color w:val="222222"/>
          <w:sz w:val="21"/>
        </w:rPr>
        <w:t>Exercise and assignment rubrics for every deliverable in Section E, including the capstone, ready to paste into your LMS.</w:t>
      </w:r>
    </w:p>
    <w:p>
      <w:pPr>
        <w:pStyle w:val="ListBullet"/>
        <w:spacing w:after="60"/>
      </w:pPr>
      <w:r>
        <w:rPr>
          <w:rFonts w:ascii="Calibri" w:hAnsi="Calibri"/>
          <w:b w:val="0"/>
          <w:i w:val="0"/>
          <w:color w:val="222222"/>
          <w:sz w:val="21"/>
        </w:rPr>
        <w:t>Teaching datasets and worked examples so the Operating-Envelope Plotter, ROI Calculator, and diagnostic worksheets can be run in class without students needing their own institutional data.</w:t>
      </w:r>
    </w:p>
    <w:p>
      <w:pPr>
        <w:pStyle w:val="ListBullet"/>
        <w:spacing w:after="60"/>
      </w:pPr>
      <w:r>
        <w:rPr>
          <w:rFonts w:ascii="Calibri" w:hAnsi="Calibri"/>
          <w:b w:val="0"/>
          <w:i w:val="0"/>
          <w:color w:val="222222"/>
          <w:sz w:val="21"/>
        </w:rPr>
        <w:t>A facilitation guide for the composite cases, with recommended debrief arcs and the “if you only have five minutes” anchor section flagged for each chapter.</w:t>
      </w:r>
    </w:p>
    <w:p>
      <w:pPr>
        <w:spacing w:before="120" w:after="80"/>
        <w:pBdr>
          <w:left w:val="single" w:sz="18" w:space="12" w:color="1F3A5F"/>
        </w:pBdr>
        <w:shd w:val="clear" w:color="auto" w:fill="F2F4F7"/>
      </w:pPr>
      <w:r>
        <w:rPr>
          <w:rFonts w:ascii="Calibri" w:hAnsi="Calibri"/>
          <w:b/>
          <w:i w:val="0"/>
          <w:color w:val="1F3A5F"/>
          <w:sz w:val="21"/>
        </w:rPr>
        <w:t xml:space="preserve">To be notified when the Instructor’s Manual is available, or to request desk / examination copies, </w:t>
      </w:r>
      <w:r>
        <w:rPr>
          <w:rFonts w:ascii="Calibri" w:hAnsi="Calibri"/>
          <w:b w:val="0"/>
          <w:i w:val="0"/>
          <w:color w:val="222222"/>
          <w:sz w:val="21"/>
        </w:rPr>
        <w:t xml:space="preserve">contact the author through the companion-tools site at </w:t>
      </w:r>
      <w:r>
        <w:rPr>
          <w:rFonts w:ascii="Calibri" w:hAnsi="Calibri"/>
          <w:b/>
          <w:i w:val="0"/>
          <w:color w:val="2C7A7B"/>
          <w:sz w:val="21"/>
        </w:rPr>
        <w:t>shanewelter.com/toolkit</w:t>
      </w:r>
      <w:r>
        <w:rPr>
          <w:rFonts w:ascii="Calibri" w:hAnsi="Calibri"/>
          <w:b w:val="0"/>
          <w:i w:val="0"/>
          <w:color w:val="222222"/>
          <w:sz w:val="21"/>
        </w:rPr>
        <w:t>. Please include your institution, course number and title, program (MHA / MS-HA / MBA / DNP), and expected enrollment.</w:t>
      </w:r>
    </w:p>
    <w:p>
      <w:pPr>
        <w:spacing w:before="160"/>
      </w:pPr>
      <w:r>
        <w:rPr>
          <w:rFonts w:ascii="Calibri" w:hAnsi="Calibri"/>
          <w:b w:val="0"/>
          <w:i/>
          <w:color w:val="222222"/>
          <w:sz w:val="21"/>
        </w:rPr>
        <w:t xml:space="preserve">Thank you for considering </w:t>
      </w:r>
      <w:r>
        <w:rPr>
          <w:rFonts w:ascii="Calibri" w:hAnsi="Calibri"/>
          <w:b/>
          <w:i/>
          <w:color w:val="1F3A5F"/>
          <w:sz w:val="21"/>
        </w:rPr>
        <w:t>The 12 Laws of Healthcare Operations</w:t>
      </w:r>
      <w:r>
        <w:rPr>
          <w:rFonts w:ascii="Calibri" w:hAnsi="Calibri"/>
          <w:b w:val="0"/>
          <w:i/>
          <w:color w:val="222222"/>
          <w:sz w:val="21"/>
        </w:rPr>
        <w:t xml:space="preserve"> for your students. The goal of this toolkit is simple: to make adoption effortless, and to give the next generation of operational leaders one framework rigorous enough to defend and blunt enough to use.</w:t>
      </w:r>
    </w:p>
    <w:sectPr w:rsidR="00FC693F" w:rsidRPr="0006063C" w:rsidSect="00034616">
      <w:footerReference w:type="default" r:id="rId9"/>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Calibri" w:hAnsi="Calibri"/>
        <w:b/>
        <w:i w:val="0"/>
        <w:color w:val="1F3A5F"/>
        <w:sz w:val="16"/>
      </w:rPr>
      <w:t>The 12 Laws of Healthcare Operations — Shane Welter</w:t>
    </w:r>
    <w:r>
      <w:rPr>
        <w:rFonts w:ascii="Calibri" w:hAnsi="Calibri"/>
        <w:b w:val="0"/>
        <w:i w:val="0"/>
        <w:color w:val="2C7A7B"/>
        <w:sz w:val="16"/>
      </w:rPr>
      <w:t xml:space="preserve">  ·  companion tools at shanewelter.com/toolkit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