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rFonts w:ascii="Calibri" w:cs="Calibri" w:eastAsia="Calibri" w:hAnsi="Calibri"/>
          <w:b/>
          <w:bCs/>
          <w:color w:val="2C7A7B"/>
          <w:spacing w:val="20"/>
          <w:sz w:val="18"/>
          <w:szCs w:val="18"/>
        </w:rPr>
        <w:t xml:space="preserve">THE FLOW ARCHITECT TOOLKIT · CLASSROOM &amp; POLICY KIT · POLICY BRIEF</w:t>
      </w:r>
    </w:p>
    <w:p>
      <w:pPr>
        <w:spacing w:after="80"/>
      </w:pPr>
      <w:r>
        <w:rPr>
          <w:rFonts w:ascii="Calibri" w:cs="Calibri" w:eastAsia="Calibri" w:hAnsi="Calibri"/>
          <w:b/>
          <w:bCs/>
          <w:color w:val="1F3A5F"/>
          <w:sz w:val="52"/>
          <w:szCs w:val="52"/>
        </w:rPr>
        <w:t xml:space="preserve">Running Hot Is Not Efficiency</w:t>
      </w:r>
    </w:p>
    <w:p>
      <w:pPr>
        <w:pBdr>
          <w:bottom w:val="single" w:color="2C7A7B" w:sz="12" w:space="6"/>
        </w:pBdr>
        <w:spacing w:after="120"/>
      </w:pPr>
      <w:r>
        <w:rPr>
          <w:rFonts w:ascii="Calibri" w:cs="Calibri" w:eastAsia="Calibri" w:hAnsi="Calibri"/>
          <w:i/>
          <w:iCs/>
          <w:color w:val="1F3A5F"/>
          <w:sz w:val="22"/>
          <w:szCs w:val="22"/>
        </w:rPr>
        <w:t xml:space="preserve">What the Evidence Says About Hospital Capacity Policy · The 12 Laws of Healthcare Operations · Shane Welter</w:t>
      </w:r>
    </w:p>
    <w:p>
      <w:pPr>
        <w:spacing w:after="30"/>
      </w:pPr>
      <w:r>
        <w:rPr>
          <w:rFonts w:ascii="Calibri" w:cs="Calibri" w:eastAsia="Calibri" w:hAnsi="Calibri"/>
          <w:b/>
          <w:bCs/>
          <w:color w:val="1F3A5F"/>
          <w:sz w:val="19"/>
          <w:szCs w:val="19"/>
        </w:rPr>
        <w:t xml:space="preserve">July 2026</w:t>
      </w:r>
    </w:p>
    <w:p>
      <w:pPr>
        <w:spacing w:after="30"/>
      </w:pPr>
      <w:r>
        <w:rPr>
          <w:rFonts w:ascii="Calibri" w:cs="Calibri" w:eastAsia="Calibri" w:hAnsi="Calibri"/>
          <w:i/>
          <w:iCs/>
          <w:color w:val="5A636E"/>
          <w:sz w:val="17"/>
          <w:szCs w:val="17"/>
        </w:rPr>
        <w:t xml:space="preserve">The author is a doctoral researcher in behavioral operations (Virginia Tech) and healthcare operator; this brief makes operational and policy arguments, not clinical recommendations.</w:t>
      </w:r>
    </w:p>
    <w:p>
      <w:pPr>
        <w:spacing w:after="80"/>
      </w:pPr>
      <w:r>
        <w:rPr>
          <w:rFonts w:ascii="Calibri" w:cs="Calibri" w:eastAsia="Calibri" w:hAnsi="Calibri"/>
          <w:color w:val="5A636E"/>
          <w:sz w:val="19"/>
          <w:szCs w:val="19"/>
        </w:rPr>
        <w:t xml:space="preserve">For: health-system boards, regulators, rating agencies, and payment-policy staff</w:t>
      </w:r>
    </w:p>
    <w:p>
      <w:r>
        <w:rPr>
          <w:b w:val="0"/>
          <w:i/>
        </w:rPr>
        <w:t>The recommendations below are policy-operational design asks derived from the cited studies; they are not clinical practice guidelines.</w:t>
      </w:r>
    </w:p>
    <w:tbl>
      <w:tblPr>
        <w:tblW w:type="dxa" w:w="9360"/>
        <w:tblBorders>
          <w:top w:val="single" w:color="C9CFD8" w:sz="4"/>
          <w:left w:val="single" w:color="C9CFD8" w:sz="4"/>
          <w:bottom w:val="single" w:color="C9CFD8" w:sz="4"/>
          <w:right w:val="single" w:color="C9CFD8" w:sz="4"/>
          <w:insideH w:val="single" w:color="C9CFD8" w:sz="4"/>
          <w:insideV w:val="single" w:color="C9CFD8" w:sz="4"/>
        </w:tblBorders>
        <w:tblCellMar>
          <w:top w:type="dxa" w:w="40"/>
          <w:left w:type="dxa" w:w="120"/>
          <w:bottom w:type="dxa" w:w="40"/>
          <w:right w:type="dxa" w:w="120"/>
        </w:tblCellMar>
      </w:tblPr>
      <w:tblGrid>
        <w:gridCol w:w="2160"/>
        <w:gridCol w:w="7200"/>
      </w:tblGrid>
      <w:tr>
        <w:tc>
          <w:tcPr>
            <w:tcW w:type="dxa" w:w="9360"/>
            <w:gridSpan w:val="2"/>
            <w:tcBorders>
              <w:left w:val="single" w:color="2C7A7B" w:sz="18"/>
            </w:tcBorders>
            <w:shd w:fill="E7F1F1" w:val="clear"/>
          </w:tcPr>
          <w:p>
            <w:pPr>
              <w:spacing w:after="0"/>
            </w:pPr>
            <w:r>
              <w:rPr>
                <w:rFonts w:ascii="Calibri" w:cs="Calibri" w:eastAsia="Calibri" w:hAnsi="Calibri"/>
                <w:b/>
                <w:bCs/>
                <w:color w:val="1F3A5F"/>
                <w:spacing w:val="15"/>
                <w:sz w:val="18"/>
                <w:szCs w:val="18"/>
              </w:rPr>
              <w:t xml:space="preserve">AT A GLANCE</w:t>
            </w:r>
          </w:p>
        </w:tc>
      </w:tr>
      <w:tr>
        <w:tc>
          <w:tcPr>
            <w:tcW w:type="dxa" w:w="2160"/>
            <w:tcBorders>
              <w:left w:val="single" w:color="2C7A7B" w:sz="18"/>
            </w:tcBorders>
          </w:tcPr>
          <w:p>
            <w:pPr>
              <w:spacing w:after="0"/>
            </w:pPr>
            <w:r>
              <w:rPr>
                <w:rFonts w:ascii="Calibri" w:cs="Calibri" w:eastAsia="Calibri" w:hAnsi="Calibri"/>
                <w:b/>
                <w:bCs/>
                <w:color w:val="1F3A5F"/>
                <w:sz w:val="18"/>
                <w:szCs w:val="18"/>
              </w:rPr>
              <w:t xml:space="preserve">Audience</w:t>
            </w:r>
          </w:p>
        </w:tc>
        <w:tc>
          <w:tcPr>
            <w:tcW w:type="dxa" w:w="7200"/>
          </w:tcPr>
          <w:p>
            <w:pPr>
              <w:spacing w:after="0"/>
            </w:pPr>
            <w:r>
              <w:rPr>
                <w:rFonts w:ascii="Calibri" w:cs="Calibri" w:eastAsia="Calibri" w:hAnsi="Calibri"/>
                <w:color w:val="222222"/>
                <w:sz w:val="18"/>
                <w:szCs w:val="18"/>
              </w:rPr>
              <w:t xml:space="preserve">Board members, policymakers, regulators, rating agencies, and health-system executives</w:t>
            </w:r>
          </w:p>
        </w:tc>
      </w:tr>
      <w:tr>
        <w:tc>
          <w:tcPr>
            <w:tcW w:type="dxa" w:w="2160"/>
            <w:tcBorders>
              <w:left w:val="single" w:color="2C7A7B" w:sz="18"/>
            </w:tcBorders>
          </w:tcPr>
          <w:p>
            <w:pPr>
              <w:spacing w:after="0"/>
            </w:pPr>
            <w:r>
              <w:rPr>
                <w:rFonts w:ascii="Calibri" w:cs="Calibri" w:eastAsia="Calibri" w:hAnsi="Calibri"/>
                <w:b/>
                <w:bCs/>
                <w:color w:val="1F3A5F"/>
                <w:sz w:val="18"/>
                <w:szCs w:val="18"/>
              </w:rPr>
              <w:t xml:space="preserve">Time to run</w:t>
            </w:r>
          </w:p>
        </w:tc>
        <w:tc>
          <w:tcPr>
            <w:tcW w:type="dxa" w:w="7200"/>
          </w:tcPr>
          <w:p>
            <w:pPr>
              <w:spacing w:after="0"/>
            </w:pPr>
            <w:r>
              <w:rPr>
                <w:rFonts w:ascii="Calibri" w:cs="Calibri" w:eastAsia="Calibri" w:hAnsi="Calibri"/>
                <w:color w:val="222222"/>
                <w:sz w:val="18"/>
                <w:szCs w:val="18"/>
              </w:rPr>
              <w:t xml:space="preserve">15-minute read</w:t>
            </w:r>
          </w:p>
        </w:tc>
      </w:tr>
      <w:tr>
        <w:tc>
          <w:tcPr>
            <w:tcW w:type="dxa" w:w="2160"/>
            <w:tcBorders>
              <w:left w:val="single" w:color="2C7A7B" w:sz="18"/>
            </w:tcBorders>
          </w:tcPr>
          <w:p>
            <w:pPr>
              <w:spacing w:after="0"/>
            </w:pPr>
            <w:r>
              <w:rPr>
                <w:rFonts w:ascii="Calibri" w:cs="Calibri" w:eastAsia="Calibri" w:hAnsi="Calibri"/>
                <w:b/>
                <w:bCs/>
                <w:color w:val="1F3A5F"/>
                <w:sz w:val="18"/>
                <w:szCs w:val="18"/>
              </w:rPr>
              <w:t xml:space="preserve">Materials</w:t>
            </w:r>
          </w:p>
        </w:tc>
        <w:tc>
          <w:tcPr>
            <w:tcW w:type="dxa" w:w="7200"/>
          </w:tcPr>
          <w:p>
            <w:pPr>
              <w:spacing w:after="0"/>
            </w:pPr>
            <w:r>
              <w:rPr>
                <w:rFonts w:ascii="Calibri" w:cs="Calibri" w:eastAsia="Calibri" w:hAnsi="Calibri"/>
                <w:color w:val="222222"/>
                <w:sz w:val="18"/>
                <w:szCs w:val="18"/>
              </w:rPr>
              <w:t xml:space="preserve">None</w:t>
            </w:r>
          </w:p>
        </w:tc>
      </w:tr>
      <w:tr>
        <w:tc>
          <w:tcPr>
            <w:tcW w:type="dxa" w:w="2160"/>
            <w:tcBorders>
              <w:left w:val="single" w:color="2C7A7B" w:sz="18"/>
            </w:tcBorders>
          </w:tcPr>
          <w:p>
            <w:pPr>
              <w:spacing w:after="0"/>
            </w:pPr>
            <w:r>
              <w:rPr>
                <w:rFonts w:ascii="Calibri" w:cs="Calibri" w:eastAsia="Calibri" w:hAnsi="Calibri"/>
                <w:b/>
                <w:bCs/>
                <w:color w:val="1F3A5F"/>
                <w:sz w:val="18"/>
                <w:szCs w:val="18"/>
              </w:rPr>
              <w:t xml:space="preserve">What you’ll produce</w:t>
            </w:r>
          </w:p>
        </w:tc>
        <w:tc>
          <w:tcPr>
            <w:tcW w:type="dxa" w:w="7200"/>
          </w:tcPr>
          <w:p>
            <w:pPr>
              <w:spacing w:after="0"/>
            </w:pPr>
            <w:r>
              <w:rPr>
                <w:rFonts w:ascii="Calibri" w:cs="Calibri" w:eastAsia="Calibri" w:hAnsi="Calibri"/>
                <w:color w:val="222222"/>
                <w:sz w:val="18"/>
                <w:szCs w:val="18"/>
              </w:rPr>
              <w:t xml:space="preserve">A shared evidence base and five measurement asks for capacity policy</w:t>
            </w:r>
          </w:p>
        </w:tc>
      </w:tr>
      <w:tr>
        <w:tc>
          <w:tcPr>
            <w:tcW w:type="dxa" w:w="2160"/>
            <w:tcBorders>
              <w:left w:val="single" w:color="2C7A7B" w:sz="18"/>
            </w:tcBorders>
          </w:tcPr>
          <w:p>
            <w:pPr>
              <w:spacing w:after="0"/>
            </w:pPr>
            <w:r>
              <w:rPr>
                <w:rFonts w:ascii="Calibri" w:cs="Calibri" w:eastAsia="Calibri" w:hAnsi="Calibri"/>
                <w:b/>
                <w:bCs/>
                <w:color w:val="1F3A5F"/>
                <w:sz w:val="18"/>
                <w:szCs w:val="18"/>
              </w:rPr>
              <w:t xml:space="preserve">Prep</w:t>
            </w:r>
          </w:p>
        </w:tc>
        <w:tc>
          <w:tcPr>
            <w:tcW w:type="dxa" w:w="7200"/>
          </w:tcPr>
          <w:p>
            <w:pPr>
              <w:spacing w:after="0"/>
            </w:pPr>
            <w:r>
              <w:rPr>
                <w:rFonts w:ascii="Calibri" w:cs="Calibri" w:eastAsia="Calibri" w:hAnsi="Calibri"/>
                <w:color w:val="222222"/>
                <w:sz w:val="18"/>
                <w:szCs w:val="18"/>
              </w:rPr>
              <w:t xml:space="preserve">None</w:t>
            </w:r>
          </w:p>
        </w:tc>
      </w:tr>
      <w:tr>
        <w:tc>
          <w:tcPr>
            <w:tcW w:type="dxa" w:w="9360"/>
            <w:gridSpan w:val="2"/>
            <w:tcBorders>
              <w:left w:val="single" w:color="2C7A7B" w:sz="18"/>
            </w:tcBorders>
          </w:tcPr>
          <w:p>
            <w:pPr>
              <w:spacing w:after="0"/>
            </w:pPr>
            <w:r>
              <w:rPr>
                <w:rFonts w:ascii="Calibri" w:cs="Calibri" w:eastAsia="Calibri" w:hAnsi="Calibri"/>
                <w:i/>
                <w:iCs/>
                <w:color w:val="5A636E"/>
                <w:sz w:val="17"/>
                <w:szCs w:val="17"/>
              </w:rPr>
              <w:t xml:space="preserve">Version 1.1 · July 2026 · shanewelter.com/toolkit</w:t>
            </w:r>
          </w:p>
        </w:tc>
      </w:tr>
    </w:tbl>
    <w:p>
      <w:pPr>
        <w:spacing w:after="0" w:before="60" w:line="40" w:lineRule="exact"/>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9CFD8" w:sz="1"/>
              <w:left w:val="single" w:color="2C7A7B" w:sz="18"/>
              <w:bottom w:val="single" w:color="C9CFD8" w:sz="1"/>
              <w:right w:val="single" w:color="C9CFD8" w:sz="1"/>
            </w:tcBorders>
            <w:shd w:fill="E7F1F1" w:val="clear"/>
            <w:tcMar>
              <w:top w:type="dxa" w:w="140"/>
              <w:left w:type="dxa" w:w="200"/>
              <w:bottom w:type="dxa" w:w="140"/>
              <w:right w:type="dxa" w:w="200"/>
            </w:tcMar>
          </w:tcPr>
          <w:p>
            <w:pPr>
              <w:spacing w:after="0" w:line="276"/>
            </w:pPr>
            <w:r>
              <w:rPr>
                <w:rFonts w:ascii="Calibri" w:cs="Calibri" w:eastAsia="Calibri" w:hAnsi="Calibri"/>
                <w:b/>
                <w:bCs/>
                <w:color w:val="222222"/>
                <w:sz w:val="22"/>
                <w:szCs w:val="22"/>
              </w:rPr>
              <w:t xml:space="preserve">In one sentence: </w:t>
            </w:r>
            <w:r>
              <w:rPr>
                <w:rFonts w:ascii="Calibri" w:cs="Calibri" w:eastAsia="Calibri" w:hAnsi="Calibri"/>
                <w:color w:val="222222"/>
                <w:sz w:val="22"/>
                <w:szCs w:val="22"/>
              </w:rPr>
              <w:t xml:space="preserve">occupancy and utilization targets treat a full hospital as an efficient hospital; the published evidence says a full hospital is a dangerous one — and policy can either demand designs that stay reliable, or keep paying for their absence.</w:t>
            </w:r>
          </w:p>
        </w:tc>
      </w:tr>
    </w:tbl>
    <w:p>
      <w:pPr>
        <w:spacing w:after="0" w:before="60" w:line="40" w:lineRule="exact"/>
      </w:pPr>
    </w:p>
    <w:tbl>
      <w:tblPr>
        <w:tblW w:type="dxa" w:w="9360"/>
        <w:tblBorders>
          <w:top w:val="single" w:color="C9CFD8" w:sz="4"/>
          <w:left w:val="single" w:color="C9CFD8" w:sz="4"/>
          <w:bottom w:val="single" w:color="C9CFD8" w:sz="4"/>
          <w:right w:val="single" w:color="C9CFD8" w:sz="4"/>
        </w:tblBorders>
      </w:tblPr>
      <w:tblGrid>
        <w:gridCol w:w="9360"/>
      </w:tblGrid>
      <w:tr>
        <w:tc>
          <w:tcPr>
            <w:tcW w:type="dxa" w:w="9360"/>
            <w:tcBorders>
              <w:top w:val="single" w:color="C9CFD8" w:sz="4"/>
              <w:left w:val="single" w:color="1F3A5F" w:sz="18"/>
              <w:bottom w:val="single" w:color="C9CFD8" w:sz="4"/>
              <w:right w:val="single" w:color="C9CFD8" w:sz="4"/>
            </w:tcBorders>
            <w:shd w:fill="F1F4F8" w:val="clear"/>
            <w:tcMar>
              <w:top w:type="dxa" w:w="120"/>
              <w:left w:type="dxa" w:w="200"/>
              <w:bottom w:type="dxa" w:w="120"/>
              <w:right w:type="dxa" w:w="200"/>
            </w:tcMar>
          </w:tcPr>
          <w:p>
            <w:pPr>
              <w:spacing w:after="60"/>
            </w:pPr>
            <w:r>
              <w:rPr>
                <w:rFonts w:ascii="Calibri" w:cs="Calibri" w:eastAsia="Calibri" w:hAnsi="Calibri"/>
                <w:b/>
                <w:bCs/>
                <w:caps/>
                <w:color w:val="1F3A5F"/>
                <w:sz w:val="20"/>
                <w:szCs w:val="20"/>
              </w:rPr>
              <w:t xml:space="preserve">In brief</w:t>
            </w:r>
          </w:p>
          <w:p>
            <w:pPr>
              <w:pStyle w:val="ListParagraph"/>
              <w:numPr>
                <w:ilvl w:val="0"/>
                <w:numId w:val="1"/>
              </w:numPr>
              <w:spacing w:after="40"/>
            </w:pPr>
            <w:r>
              <w:rPr>
                <w:rFonts w:ascii="Calibri" w:cs="Calibri" w:eastAsia="Calibri" w:hAnsi="Calibri"/>
                <w:color w:val="222222"/>
                <w:sz w:val="21"/>
                <w:szCs w:val="21"/>
              </w:rPr>
              <w:t xml:space="preserve">Occupancy shows a dose-response with mortality (association, adjusted): in 2.65 million admissions, the fuller the hospital, the higher in-hospital and 30-day mortality climbed — fullness itself is the exposure.</w:t>
            </w:r>
          </w:p>
          <w:p>
            <w:pPr>
              <w:spacing w:after="60"/>
              <w:ind w:left="720"/>
            </w:pPr>
            <w:r>
              <w:rPr>
                <w:rFonts w:ascii="Calibri" w:cs="Calibri" w:eastAsia="Calibri" w:hAnsi="Calibri"/>
                <w:i/>
                <w:iCs/>
                <w:color w:val="5A636E"/>
                <w:sz w:val="16"/>
                <w:szCs w:val="16"/>
              </w:rPr>
              <w:t xml:space="preserve">Study details: registry cohort, 2.65 million admissions, Danish medical departments, 1995-2012; endpoints in-hospital and 30-day mortality, adjusted.</w:t>
            </w:r>
          </w:p>
          <w:p>
            <w:pPr>
              <w:pStyle w:val="ListParagraph"/>
              <w:numPr>
                <w:ilvl w:val="0"/>
                <w:numId w:val="1"/>
              </w:numPr>
              <w:spacing w:after="40"/>
            </w:pPr>
            <w:r>
              <w:rPr>
                <w:rFonts w:ascii="Calibri" w:cs="Calibri" w:eastAsia="Calibri" w:hAnsi="Calibri"/>
                <w:color w:val="222222"/>
                <w:sz w:val="21"/>
                <w:szCs w:val="21"/>
              </w:rPr>
              <w:t xml:space="preserve">Boarding is associated with higher in-hospital mortality: 2.5% under two hours vs 4.5% at twelve or more (adjusted OR ≈1.8, observational) — an association that persisted after adjustment.</w:t>
            </w:r>
          </w:p>
          <w:p>
            <w:pPr>
              <w:spacing w:after="60"/>
              <w:ind w:left="720"/>
            </w:pPr>
            <w:r>
              <w:rPr>
                <w:rFonts w:ascii="Calibri" w:cs="Calibri" w:eastAsia="Calibri" w:hAnsi="Calibri"/>
                <w:i/>
                <w:iCs/>
                <w:color w:val="5A636E"/>
                <w:sz w:val="16"/>
                <w:szCs w:val="16"/>
              </w:rPr>
              <w:t xml:space="preserve">Study details: retrospective cohort, 41,256 adult ED admissions, single academic center; endpoint in-hospital mortality.</w:t>
            </w:r>
          </w:p>
          <w:p>
            <w:pPr>
              <w:pStyle w:val="ListParagraph"/>
              <w:numPr>
                <w:ilvl w:val="0"/>
                <w:numId w:val="1"/>
              </w:numPr>
              <w:spacing w:after="40"/>
            </w:pPr>
            <w:r>
              <w:rPr>
                <w:rFonts w:ascii="Calibri" w:cs="Calibri" w:eastAsia="Calibri" w:hAnsi="Calibri"/>
                <w:color w:val="222222"/>
                <w:sz w:val="21"/>
                <w:szCs w:val="21"/>
              </w:rPr>
              <w:t xml:space="preserve">Adding capacity without exit-velocity and workforce design fails: crowding is output-blocked, queueing losses are nonlinear, and sustained overload erodes the workforce that must staff the new beds.</w:t>
            </w:r>
          </w:p>
          <w:p>
            <w:pPr>
              <w:spacing w:after="60"/>
              <w:ind w:left="720"/>
            </w:pPr>
            <w:r>
              <w:rPr>
                <w:rFonts w:ascii="Calibri" w:cs="Calibri" w:eastAsia="Calibri" w:hAnsi="Calibri"/>
                <w:i/>
                <w:iCs/>
                <w:color w:val="5A636E"/>
                <w:sz w:val="16"/>
                <w:szCs w:val="16"/>
              </w:rPr>
              <w:t xml:space="preserve">Study details: conceptual crowding model (Asplin 2003); queueing analysis (Green 2006); econometric analysis of hospital operations (Kc &amp; Terwiesch 2009).</w:t>
            </w:r>
          </w:p>
          <w:p>
            <w:pPr>
              <w:pStyle w:val="ListParagraph"/>
              <w:numPr>
                <w:ilvl w:val="0"/>
                <w:numId w:val="1"/>
              </w:numPr>
              <w:spacing w:after="40"/>
            </w:pPr>
            <w:r>
              <w:rPr>
                <w:rFonts w:ascii="Calibri" w:cs="Calibri" w:eastAsia="Calibri" w:hAnsi="Calibri"/>
                <w:color w:val="222222"/>
                <w:sz w:val="21"/>
                <w:szCs w:val="21"/>
              </w:rPr>
              <w:t xml:space="preserve">Policy should measure and reward tail delays, protected buffers, workforce stability, and engineered routines — not average occupancy.</w:t>
            </w:r>
          </w:p>
          <w:p>
            <w:pPr>
              <w:spacing w:after="0"/>
              <w:ind w:left="720"/>
            </w:pPr>
            <w:r>
              <w:rPr>
                <w:rFonts w:ascii="Calibri" w:cs="Calibri" w:eastAsia="Calibri" w:hAnsi="Calibri"/>
                <w:i/>
                <w:iCs/>
                <w:color w:val="5A636E"/>
                <w:sz w:val="16"/>
                <w:szCs w:val="16"/>
              </w:rPr>
              <w:t xml:space="preserve">Study details: synthesis of the studies above; full claim-by-claim sourcing in the Appendix.</w:t>
            </w:r>
          </w:p>
        </w:tc>
      </w:tr>
    </w:tbl>
    <w:p>
      <w:pPr>
        <w:spacing w:after="0" w:before="60" w:line="40" w:lineRule="exact"/>
      </w:pPr>
    </w:p>
    <w:tbl>
      <w:tblPr>
        <w:tblW w:type="dxa" w:w="9360"/>
        <w:tblBorders>
          <w:top w:val="single" w:color="C9CFD8" w:sz="4"/>
          <w:left w:val="single" w:color="C9CFD8" w:sz="4"/>
          <w:bottom w:val="single" w:color="C9CFD8" w:sz="4"/>
          <w:right w:val="single" w:color="C9CFD8" w:sz="4"/>
        </w:tblBorders>
      </w:tblPr>
      <w:tblGrid>
        <w:gridCol w:w="9360"/>
      </w:tblGrid>
      <w:tr>
        <w:tc>
          <w:tcPr>
            <w:tcW w:type="dxa" w:w="9360"/>
            <w:tcBorders>
              <w:top w:val="single" w:color="C9CFD8" w:sz="4"/>
              <w:left w:val="single" w:color="5A636E" w:sz="18"/>
              <w:bottom w:val="single" w:color="C9CFD8" w:sz="4"/>
              <w:right w:val="single" w:color="C9CFD8" w:sz="4"/>
            </w:tcBorders>
            <w:shd w:fill="F5F6F8" w:val="clear"/>
            <w:tcMar>
              <w:top w:type="dxa" w:w="120"/>
              <w:left w:type="dxa" w:w="200"/>
              <w:bottom w:type="dxa" w:w="120"/>
              <w:right w:type="dxa" w:w="200"/>
            </w:tcMar>
          </w:tcPr>
          <w:p>
            <w:pPr>
              <w:spacing w:after="40"/>
            </w:pPr>
            <w:r>
              <w:rPr>
                <w:rFonts w:ascii="Calibri" w:cs="Calibri" w:eastAsia="Calibri" w:hAnsi="Calibri"/>
                <w:b/>
                <w:bCs/>
                <w:caps/>
                <w:color w:val="1F3A5F"/>
                <w:sz w:val="20"/>
                <w:szCs w:val="20"/>
              </w:rPr>
              <w:t xml:space="preserve">How to read these numbers</w:t>
            </w:r>
          </w:p>
          <w:p>
            <w:pPr>
              <w:spacing w:after="0" w:line="276"/>
            </w:pPr>
            <w:r>
              <w:rPr>
                <w:rFonts w:ascii="Calibri" w:cs="Calibri" w:eastAsia="Calibri" w:hAnsi="Calibri"/>
                <w:color w:val="222222"/>
                <w:sz w:val="20"/>
                <w:szCs w:val="20"/>
              </w:rPr>
              <w:t xml:space="preserve">All findings cited in this brief are from observational studies or simulations unless noted. Effect measures are stated as the authors reported them — adjusted odds ratios, relative risks, rate differences. Associations of this kind are not proof of causation; they are, however, consistent, large, and dose-patterned across settings. This brief is a narrative synthesis of landmark studies, not a systematic review.</w:t>
            </w:r>
          </w:p>
        </w:tc>
      </w:tr>
    </w:tbl>
    <w:p>
      <w:pPr>
        <w:spacing w:after="60" w:line="40" w:lineRule="exact"/>
      </w:pPr>
    </w:p>
    <w:p>
      <w:pPr>
        <w:spacing w:after="160" w:line="276"/>
      </w:pPr>
      <w:r>
        <w:rPr>
          <w:rFonts w:ascii="Calibri" w:cs="Calibri" w:eastAsia="Calibri" w:hAnsi="Calibri"/>
          <w:color w:val="222222"/>
          <w:sz w:val="22"/>
          <w:szCs w:val="22"/>
        </w:rPr>
        <w:t xml:space="preserve"/>
      </w:r>
    </w:p>
    <w:p>
      <w:pPr>
        <w:pStyle w:val="Heading1"/>
        <w:spacing w:after="140" w:before="300"/>
      </w:pPr>
      <w:r>
        <w:rPr>
          <w:rFonts w:ascii="Calibri" w:cs="Calibri" w:eastAsia="Calibri" w:hAnsi="Calibri"/>
          <w:b/>
          <w:bCs/>
          <w:color w:val="1F3A5F"/>
          <w:sz w:val="30"/>
          <w:szCs w:val="30"/>
        </w:rPr>
        <w:t xml:space="preserve">1. The Problem: Policy Rewards Fullness, and Fullness Predicts Mortality</w:t>
      </w:r>
    </w:p>
    <w:p>
      <w:pPr>
        <w:spacing w:after="160" w:line="276"/>
      </w:pPr>
      <w:r>
        <w:rPr>
          <w:rFonts w:ascii="Calibri" w:cs="Calibri" w:eastAsia="Calibri" w:hAnsi="Calibri"/>
          <w:color w:val="222222"/>
          <w:sz w:val="22"/>
          <w:szCs w:val="22"/>
        </w:rPr>
        <w:t xml:space="preserve">Across payment models, benchmarking reports, and board dashboards, high occupancy and high utilization are read as evidence of good stewardship: assets sweated, capacity monetized, no beds "wasted." The clinical evidence points the other way. In an analysis of 2.65 million admissions to Danish hospitals between 1995 and 2012, rising bed occupancy showed a dose-response association with mortality — both in-hospital and at 30 days (association, adjusted).</w:t>
      </w:r>
      <w:r>
        <w:rPr>
          <w:rFonts w:ascii="Calibri" w:cs="Calibri" w:eastAsia="Calibri" w:hAnsi="Calibri"/>
          <w:color w:val="222222"/>
          <w:sz w:val="22"/>
          <w:szCs w:val="22"/>
          <w:vertAlign w:val="superscript"/>
        </w:rPr>
        <w:t xml:space="preserve">1</w:t>
      </w:r>
      <w:r>
        <w:rPr>
          <w:rFonts w:ascii="Calibri" w:cs="Calibri" w:eastAsia="Calibri" w:hAnsi="Calibri"/>
          <w:color w:val="222222"/>
          <w:sz w:val="22"/>
          <w:szCs w:val="22"/>
        </w:rPr>
        <w:t xml:space="preserve"> The relationship is not a cliff-edge anomaly at 100 percent; risk climbs as occupancy climbs. Fullness itself is the exposure.</w:t>
      </w:r>
    </w:p>
    <w:p>
      <w:pPr>
        <w:spacing w:after="160" w:line="276"/>
      </w:pPr>
      <w:r>
        <w:rPr>
          <w:rFonts w:ascii="Calibri" w:cs="Calibri" w:eastAsia="Calibri" w:hAnsi="Calibri"/>
          <w:color w:val="222222"/>
          <w:sz w:val="22"/>
          <w:szCs w:val="22"/>
        </w:rPr>
        <w:t xml:space="preserve">The association is sharpest at the hospital’s most congested interface. Among 41,256 emergency-department admissions, patients boarded in the ED under two hours died at a rate of 2.5 percent; patients boarded twelve hours or more died at 4.5 percent — an association that persisted after adjustment for comorbidities (adjusted OR ≈1.8, observational) — and mean length of stay rose from 5.6 to 8.7 days.</w:t>
      </w:r>
      <w:r>
        <w:rPr>
          <w:rFonts w:ascii="Calibri" w:cs="Calibri" w:eastAsia="Calibri" w:hAnsi="Calibri"/>
          <w:color w:val="222222"/>
          <w:sz w:val="22"/>
          <w:szCs w:val="22"/>
          <w:vertAlign w:val="superscript"/>
        </w:rPr>
        <w:t xml:space="preserve">2</w:t>
      </w:r>
      <w:r>
        <w:rPr>
          <w:rFonts w:ascii="Calibri" w:cs="Calibri" w:eastAsia="Calibri" w:hAnsi="Calibri"/>
          <w:color w:val="222222"/>
          <w:sz w:val="22"/>
          <w:szCs w:val="22"/>
        </w:rPr>
        <w:t xml:space="preserve"> Boarding is what full looks like from a gurney: the bed exists on the license, but not for this patient, tonight.</w:t>
      </w:r>
    </w:p>
    <w:p>
      <w:pPr>
        <w:spacing w:after="160" w:line="276"/>
      </w:pPr>
      <w:r>
        <w:rPr>
          <w:rFonts w:ascii="Calibri" w:cs="Calibri" w:eastAsia="Calibri" w:hAnsi="Calibri"/>
          <w:color w:val="222222"/>
          <w:sz w:val="22"/>
          <w:szCs w:val="22"/>
        </w:rPr>
        <w:t xml:space="preserve">Nor is the danger zone where intuition puts it. Simulation work published in 1999 showed that hospitals begin facing frequent bed crises above roughly 85 percent average occupancy — far below the levels many systems now treat as targets.</w:t>
      </w:r>
      <w:r>
        <w:rPr>
          <w:rFonts w:ascii="Calibri" w:cs="Calibri" w:eastAsia="Calibri" w:hAnsi="Calibri"/>
          <w:color w:val="222222"/>
          <w:sz w:val="22"/>
          <w:szCs w:val="22"/>
          <w:vertAlign w:val="superscript"/>
        </w:rPr>
        <w:t xml:space="preserve">3</w:t>
      </w:r>
      <w:r>
        <w:rPr>
          <w:rFonts w:ascii="Calibri" w:cs="Calibri" w:eastAsia="Calibri" w:hAnsi="Calibri"/>
          <w:color w:val="222222"/>
          <w:sz w:val="22"/>
          <w:szCs w:val="22"/>
        </w:rPr>
        <w:t xml:space="preserve"> Two caveats belong in every policy citation of that number: it is a historical benchmark from a simulation model, and it is size-dependent. Smaller hospitals and smaller units, with fewer beds to pool random arrivals, hit crisis at lower average occupancy; larger ones tolerate somewhat more. The policy lesson is not "mandate 85 percent" — it is that every unit has a measurable operating threshold, that the threshold sits well below full, and that operating above it converts randomness into recurring crisis.</w:t>
      </w:r>
    </w:p>
    <w:p>
      <w:pPr>
        <w:spacing w:after="160" w:line="276"/>
      </w:pPr>
      <w:r>
        <w:rPr>
          <w:rFonts w:ascii="Calibri" w:cs="Calibri" w:eastAsia="Calibri" w:hAnsi="Calibri"/>
          <w:color w:val="222222"/>
          <w:sz w:val="22"/>
          <w:szCs w:val="22"/>
        </w:rPr>
        <w:t xml:space="preserve">The uncomfortable summary for a rating agency, a regulator, or a board: an institution that runs visibly full year-round is not demonstrating efficiency. It is demonstrating exposure.</w:t>
      </w:r>
    </w:p>
    <w:p>
      <w:pPr>
        <w:pStyle w:val="Heading1"/>
        <w:spacing w:after="140" w:before="300"/>
      </w:pPr>
      <w:r>
        <w:rPr>
          <w:rFonts w:ascii="Calibri" w:cs="Calibri" w:eastAsia="Calibri" w:hAnsi="Calibri"/>
          <w:b/>
          <w:bCs/>
          <w:color w:val="1F3A5F"/>
          <w:sz w:val="30"/>
          <w:szCs w:val="30"/>
        </w:rPr>
        <w:t xml:space="preserve">2. Why "Just Add Capacity" Fails</w:t>
      </w:r>
    </w:p>
    <w:p>
      <w:pPr>
        <w:spacing w:after="160" w:line="276"/>
      </w:pPr>
      <w:r>
        <w:rPr>
          <w:rFonts w:ascii="Calibri" w:cs="Calibri" w:eastAsia="Calibri" w:hAnsi="Calibri"/>
          <w:color w:val="222222"/>
          <w:sz w:val="22"/>
          <w:szCs w:val="22"/>
        </w:rPr>
        <w:t xml:space="preserve">The reflexive policy response — fund more beds, build more ED bays — fails on its own when the underlying flow is broken, for three evidence-based reasons. First, crowding is an input–throughput–output problem, and the dominant failure is output: patients who cannot leave the ED because inpatient beds do not turn over, and patients who cannot leave the hospital because post-acute capacity does not exist.</w:t>
      </w:r>
      <w:r>
        <w:rPr>
          <w:rFonts w:ascii="Calibri" w:cs="Calibri" w:eastAsia="Calibri" w:hAnsi="Calibri"/>
          <w:color w:val="222222"/>
          <w:sz w:val="22"/>
          <w:szCs w:val="22"/>
          <w:vertAlign w:val="superscript"/>
        </w:rPr>
        <w:t xml:space="preserve">4</w:t>
      </w:r>
      <w:r>
        <w:rPr>
          <w:rFonts w:ascii="Calibri" w:cs="Calibri" w:eastAsia="Calibri" w:hAnsi="Calibri"/>
          <w:color w:val="222222"/>
          <w:sz w:val="22"/>
          <w:szCs w:val="22"/>
        </w:rPr>
        <w:t xml:space="preserve"> Adding front-door capacity to an output-blocked system lengthens the queue indoors.</w:t>
      </w:r>
    </w:p>
    <w:p>
      <w:pPr>
        <w:spacing w:after="160" w:line="276"/>
      </w:pPr>
      <w:r>
        <w:rPr>
          <w:rFonts w:ascii="Calibri" w:cs="Calibri" w:eastAsia="Calibri" w:hAnsi="Calibri"/>
          <w:color w:val="222222"/>
          <w:sz w:val="22"/>
          <w:szCs w:val="22"/>
        </w:rPr>
        <w:t xml:space="preserve">Second, capacity arithmetic is not linear. Queueing analysis of hospital systems shows that removing parallel servers — beds, staffed slots — increases delay non-linearly; the last beds removed (or lost to closure, staffing gaps, or consolidation) do disproportionate damage.</w:t>
      </w:r>
      <w:r>
        <w:rPr>
          <w:rFonts w:ascii="Calibri" w:cs="Calibri" w:eastAsia="Calibri" w:hAnsi="Calibri"/>
          <w:color w:val="222222"/>
          <w:sz w:val="22"/>
          <w:szCs w:val="22"/>
          <w:vertAlign w:val="superscript"/>
        </w:rPr>
        <w:t xml:space="preserve">5</w:t>
      </w:r>
      <w:r>
        <w:rPr>
          <w:rFonts w:ascii="Calibri" w:cs="Calibri" w:eastAsia="Calibri" w:hAnsi="Calibri"/>
          <w:color w:val="222222"/>
          <w:sz w:val="22"/>
          <w:szCs w:val="22"/>
        </w:rPr>
        <w:t xml:space="preserve"> Policies that treat 5 percent of beds as 5 percent of capacity systematically understate the harm of cuts and overstate the relief from small additions.</w:t>
      </w:r>
    </w:p>
    <w:p>
      <w:pPr>
        <w:spacing w:after="160" w:line="276"/>
      </w:pPr>
      <w:r>
        <w:rPr>
          <w:rFonts w:ascii="Calibri" w:cs="Calibri" w:eastAsia="Calibri" w:hAnsi="Calibri"/>
          <w:color w:val="222222"/>
          <w:sz w:val="22"/>
          <w:szCs w:val="22"/>
        </w:rPr>
        <w:t xml:space="preserve">Third, the servers are people. Econometric analysis of hospital operations links sustained overload to degradation of the workers themselves — service rates slow and outcomes worsen as overload persists.</w:t>
      </w:r>
      <w:r>
        <w:rPr>
          <w:rFonts w:ascii="Calibri" w:cs="Calibri" w:eastAsia="Calibri" w:hAnsi="Calibri"/>
          <w:color w:val="222222"/>
          <w:sz w:val="22"/>
          <w:szCs w:val="22"/>
          <w:vertAlign w:val="superscript"/>
        </w:rPr>
        <w:t xml:space="preserve">6</w:t>
      </w:r>
      <w:r>
        <w:rPr>
          <w:rFonts w:ascii="Calibri" w:cs="Calibri" w:eastAsia="Calibri" w:hAnsi="Calibri"/>
          <w:color w:val="222222"/>
          <w:sz w:val="22"/>
          <w:szCs w:val="22"/>
        </w:rPr>
        <w:t xml:space="preserve"> A system run permanently hot does not merely queue its patients; it erodes the very capacity it is counting on. New beds staffed by an exhausted workforce inherit the erosion.</w:t>
      </w:r>
    </w:p>
    <w:p>
      <w:pPr>
        <w:pStyle w:val="Heading1"/>
        <w:spacing w:after="140" w:before="300"/>
      </w:pPr>
      <w:r>
        <w:rPr>
          <w:rFonts w:ascii="Calibri" w:cs="Calibri" w:eastAsia="Calibri" w:hAnsi="Calibri"/>
          <w:b/>
          <w:bCs/>
          <w:color w:val="1F3A5F"/>
          <w:sz w:val="30"/>
          <w:szCs w:val="30"/>
        </w:rPr>
        <w:t xml:space="preserve">3. The Workforce Is a Capacity Policy</w:t>
      </w:r>
    </w:p>
    <w:p>
      <w:pPr>
        <w:spacing w:after="160" w:line="276"/>
      </w:pPr>
      <w:r>
        <w:rPr>
          <w:rFonts w:ascii="Calibri" w:cs="Calibri" w:eastAsia="Calibri" w:hAnsi="Calibri"/>
          <w:color w:val="222222"/>
          <w:sz w:val="22"/>
          <w:szCs w:val="22"/>
        </w:rPr>
        <w:t xml:space="preserve">Capacity policy is usually written as a facilities question. The evidence says it is substantially a workforce question. In a nine-country European study of surgical patients, each additional patient added to a nurse’s workload was associated with roughly 7 percent higher odds of death, and each 10-point increase in the share of bachelor’s-educated nurses with roughly 7 percent lower odds (adjusted odds, observational).</w:t>
      </w:r>
      <w:r>
        <w:rPr>
          <w:rFonts w:ascii="Calibri" w:cs="Calibri" w:eastAsia="Calibri" w:hAnsi="Calibri"/>
          <w:color w:val="222222"/>
          <w:sz w:val="22"/>
          <w:szCs w:val="22"/>
          <w:vertAlign w:val="superscript"/>
        </w:rPr>
        <w:t xml:space="preserve">7</w:t>
      </w:r>
      <w:r>
        <w:rPr>
          <w:rFonts w:ascii="Calibri" w:cs="Calibri" w:eastAsia="Calibri" w:hAnsi="Calibri"/>
          <w:color w:val="222222"/>
          <w:sz w:val="22"/>
          <w:szCs w:val="22"/>
        </w:rPr>
        <w:t xml:space="preserve"> Staffing ratios and workforce composition are mortality variables, not line items.</w:t>
      </w:r>
    </w:p>
    <w:p>
      <w:pPr>
        <w:spacing w:after="160" w:line="276"/>
      </w:pPr>
      <w:r>
        <w:rPr>
          <w:rFonts w:ascii="Calibri" w:cs="Calibri" w:eastAsia="Calibri" w:hAnsi="Calibri"/>
          <w:color w:val="222222"/>
          <w:sz w:val="22"/>
          <w:szCs w:val="22"/>
        </w:rPr>
        <w:t xml:space="preserve">Team composition matters as well as headcount. In a multicenter ICU study, low nurse-to-nurse familiarity combined with thin staffing was associated with a relative risk of death of up to 1.84 (relative risk, observational).</w:t>
      </w:r>
      <w:r>
        <w:rPr>
          <w:rFonts w:ascii="Calibri" w:cs="Calibri" w:eastAsia="Calibri" w:hAnsi="Calibri"/>
          <w:color w:val="222222"/>
          <w:sz w:val="22"/>
          <w:szCs w:val="22"/>
          <w:vertAlign w:val="superscript"/>
        </w:rPr>
        <w:t xml:space="preserve">8</w:t>
      </w:r>
      <w:r>
        <w:rPr>
          <w:rFonts w:ascii="Calibri" w:cs="Calibri" w:eastAsia="Calibri" w:hAnsi="Calibri"/>
          <w:color w:val="222222"/>
          <w:sz w:val="22"/>
          <w:szCs w:val="22"/>
        </w:rPr>
        <w:t xml:space="preserve"> A unit staffed to ratio with strangers — floats, agency staff, perpetual churn — is not staffed to safety. Policies that are indifferent between a stable team and an equivalent count of interchangeable labor are indifferent to a near-doubling of risk in the worst case.</w:t>
      </w:r>
    </w:p>
    <w:p>
      <w:pPr>
        <w:spacing w:after="160" w:line="276"/>
      </w:pPr>
      <w:r>
        <w:rPr>
          <w:rFonts w:ascii="Calibri" w:cs="Calibri" w:eastAsia="Calibri" w:hAnsi="Calibri"/>
          <w:color w:val="222222"/>
          <w:sz w:val="22"/>
          <w:szCs w:val="22"/>
        </w:rPr>
        <w:t xml:space="preserve">The implication for regulators and boards: turnover, agency reliance, and team stability are capacity indicators. A hospital can meet every ratio on paper while operating, in effect, below safe capacity every night.</w:t>
      </w:r>
    </w:p>
    <w:p>
      <w:pPr>
        <w:pStyle w:val="Heading1"/>
        <w:spacing w:after="140" w:before="300"/>
      </w:pPr>
      <w:r>
        <w:rPr>
          <w:rFonts w:ascii="Calibri" w:cs="Calibri" w:eastAsia="Calibri" w:hAnsi="Calibri"/>
          <w:b/>
          <w:bCs/>
          <w:color w:val="1F3A5F"/>
          <w:sz w:val="30"/>
          <w:szCs w:val="30"/>
        </w:rPr>
        <w:t xml:space="preserve">4. What Policy Should Measure and Reward Instead</w:t>
      </w:r>
    </w:p>
    <w:p>
      <w:pPr>
        <w:spacing w:after="160" w:line="276"/>
      </w:pPr>
      <w:r>
        <w:rPr>
          <w:rFonts w:ascii="Calibri" w:cs="Calibri" w:eastAsia="Calibri" w:hAnsi="Calibri"/>
          <w:color w:val="222222"/>
          <w:sz w:val="22"/>
          <w:szCs w:val="22"/>
        </w:rPr>
        <w:t xml:space="preserve">Five recommendations follow directly from the evidence above.</w:t>
      </w:r>
    </w:p>
    <w:p>
      <w:pPr>
        <w:pStyle w:val="ListParagraph"/>
        <w:numPr>
          <w:ilvl w:val="0"/>
          <w:numId w:val="2"/>
        </w:numPr>
        <w:spacing w:after="120" w:line="276"/>
      </w:pPr>
      <w:r>
        <w:rPr>
          <w:rFonts w:ascii="Calibri" w:cs="Calibri" w:eastAsia="Calibri" w:hAnsi="Calibri"/>
          <w:b/>
          <w:bCs/>
          <w:color w:val="222222"/>
          <w:sz w:val="22"/>
          <w:szCs w:val="22"/>
        </w:rPr>
        <w:t xml:space="preserve">Measure tail delays, not averages. </w:t>
      </w:r>
      <w:r>
        <w:rPr>
          <w:rFonts w:ascii="Calibri" w:cs="Calibri" w:eastAsia="Calibri" w:hAnsi="Calibri"/>
          <w:color w:val="222222"/>
          <w:sz w:val="22"/>
          <w:szCs w:val="22"/>
        </w:rPr>
        <w:t xml:space="preserve">Averages conceal the patients the system fails. Require reporting of 90th-percentile waits and total boarding hours — the tail is where the mortality signal lives.</w:t>
      </w:r>
      <w:r>
        <w:rPr>
          <w:rFonts w:ascii="Calibri" w:cs="Calibri" w:eastAsia="Calibri" w:hAnsi="Calibri"/>
          <w:color w:val="222222"/>
          <w:sz w:val="22"/>
          <w:szCs w:val="22"/>
          <w:vertAlign w:val="superscript"/>
        </w:rPr>
        <w:t xml:space="preserve">1,2</w:t>
      </w:r>
    </w:p>
    <w:p>
      <w:pPr>
        <w:pStyle w:val="ListParagraph"/>
        <w:numPr>
          <w:ilvl w:val="0"/>
          <w:numId w:val="2"/>
        </w:numPr>
        <w:spacing w:after="120" w:line="276"/>
      </w:pPr>
      <w:r>
        <w:rPr>
          <w:rFonts w:ascii="Calibri" w:cs="Calibri" w:eastAsia="Calibri" w:hAnsi="Calibri"/>
          <w:b/>
          <w:bCs/>
          <w:color w:val="222222"/>
          <w:sz w:val="22"/>
          <w:szCs w:val="22"/>
        </w:rPr>
        <w:t xml:space="preserve">Treat protected buffer capacity as safety infrastructure. </w:t>
      </w:r>
      <w:r>
        <w:rPr>
          <w:rFonts w:ascii="Calibri" w:cs="Calibri" w:eastAsia="Calibri" w:hAnsi="Calibri"/>
          <w:color w:val="222222"/>
          <w:sz w:val="22"/>
          <w:szCs w:val="22"/>
        </w:rPr>
        <w:t xml:space="preserve">Payment and rating models should stop scoring deliberately held-open capacity as waste. Buffers should be sized to each unit’s own demand data, arrival variability, and scale — not to a universal number — and audited the way fire exits are: for existence and protection, not for revenue.</w:t>
      </w:r>
      <w:r>
        <w:rPr>
          <w:rFonts w:ascii="Calibri" w:cs="Calibri" w:eastAsia="Calibri" w:hAnsi="Calibri"/>
          <w:color w:val="222222"/>
          <w:sz w:val="22"/>
          <w:szCs w:val="22"/>
          <w:vertAlign w:val="superscript"/>
        </w:rPr>
        <w:t xml:space="preserve">3,5</w:t>
      </w:r>
    </w:p>
    <w:p>
      <w:pPr>
        <w:pStyle w:val="ListParagraph"/>
        <w:numPr>
          <w:ilvl w:val="0"/>
          <w:numId w:val="2"/>
        </w:numPr>
        <w:spacing w:after="120" w:line="276"/>
      </w:pPr>
      <w:r>
        <w:rPr>
          <w:rFonts w:ascii="Calibri" w:cs="Calibri" w:eastAsia="Calibri" w:hAnsi="Calibri"/>
          <w:b/>
          <w:bCs/>
          <w:color w:val="222222"/>
          <w:sz w:val="22"/>
          <w:szCs w:val="22"/>
        </w:rPr>
        <w:t xml:space="preserve">Fund exit velocity, not just front doors. </w:t>
      </w:r>
      <w:r>
        <w:rPr>
          <w:rFonts w:ascii="Calibri" w:cs="Calibri" w:eastAsia="Calibri" w:hAnsi="Calibri"/>
          <w:color w:val="222222"/>
          <w:sz w:val="22"/>
          <w:szCs w:val="22"/>
        </w:rPr>
        <w:t xml:space="preserve">Because output failure dominates crowding, discharge processes and post-acute flow (placement capacity, weekend discharge capability, transport) deserve the funding priority now reserved for visible front-door expansion.</w:t>
      </w:r>
      <w:r>
        <w:rPr>
          <w:rFonts w:ascii="Calibri" w:cs="Calibri" w:eastAsia="Calibri" w:hAnsi="Calibri"/>
          <w:color w:val="222222"/>
          <w:sz w:val="22"/>
          <w:szCs w:val="22"/>
          <w:vertAlign w:val="superscript"/>
        </w:rPr>
        <w:t xml:space="preserve">4</w:t>
      </w:r>
    </w:p>
    <w:p>
      <w:pPr>
        <w:pStyle w:val="ListParagraph"/>
        <w:numPr>
          <w:ilvl w:val="0"/>
          <w:numId w:val="2"/>
        </w:numPr>
        <w:spacing w:after="120" w:line="276"/>
      </w:pPr>
      <w:r>
        <w:rPr>
          <w:rFonts w:ascii="Calibri" w:cs="Calibri" w:eastAsia="Calibri" w:hAnsi="Calibri"/>
          <w:b/>
          <w:bCs/>
          <w:color w:val="222222"/>
          <w:sz w:val="22"/>
          <w:szCs w:val="22"/>
        </w:rPr>
        <w:t xml:space="preserve">Count workforce stability as a safety indicator. </w:t>
      </w:r>
      <w:r>
        <w:rPr>
          <w:rFonts w:ascii="Calibri" w:cs="Calibri" w:eastAsia="Calibri" w:hAnsi="Calibri"/>
          <w:color w:val="222222"/>
          <w:sz w:val="22"/>
          <w:szCs w:val="22"/>
        </w:rPr>
        <w:t xml:space="preserve">Report and reward retention, team stability, and educational composition alongside ratios — the workload, education, and familiarity evidence makes these mortality-relevant measures, not HR metrics.</w:t>
      </w:r>
      <w:r>
        <w:rPr>
          <w:rFonts w:ascii="Calibri" w:cs="Calibri" w:eastAsia="Calibri" w:hAnsi="Calibri"/>
          <w:color w:val="222222"/>
          <w:sz w:val="22"/>
          <w:szCs w:val="22"/>
          <w:vertAlign w:val="superscript"/>
        </w:rPr>
        <w:t xml:space="preserve">7,8</w:t>
      </w:r>
    </w:p>
    <w:p>
      <w:pPr>
        <w:pStyle w:val="ListParagraph"/>
        <w:numPr>
          <w:ilvl w:val="0"/>
          <w:numId w:val="2"/>
        </w:numPr>
        <w:spacing w:after="120" w:line="276"/>
      </w:pPr>
      <w:r>
        <w:rPr>
          <w:rFonts w:ascii="Calibri" w:cs="Calibri" w:eastAsia="Calibri" w:hAnsi="Calibri"/>
          <w:b/>
          <w:bCs/>
          <w:color w:val="222222"/>
          <w:sz w:val="22"/>
          <w:szCs w:val="22"/>
        </w:rPr>
        <w:t xml:space="preserve">Reward engineered reliability, not exhortation. </w:t>
      </w:r>
      <w:r>
        <w:rPr>
          <w:rFonts w:ascii="Calibri" w:cs="Calibri" w:eastAsia="Calibri" w:hAnsi="Calibri"/>
          <w:color w:val="222222"/>
          <w:sz w:val="22"/>
          <w:szCs w:val="22"/>
        </w:rPr>
        <w:t xml:space="preserve">The interventions with landmark results are protected, structural routines: after a five-item central-line checklist was implemented across 103 Michigan ICUs, median catheter-related bloodstream infection rates fell to zero, sustained for 18 months.</w:t>
      </w:r>
      <w:r>
        <w:rPr>
          <w:rFonts w:ascii="Calibri" w:cs="Calibri" w:eastAsia="Calibri" w:hAnsi="Calibri"/>
          <w:color w:val="222222"/>
          <w:sz w:val="22"/>
          <w:szCs w:val="22"/>
          <w:vertAlign w:val="superscript"/>
        </w:rPr>
        <w:t xml:space="preserve">9</w:t>
      </w:r>
    </w:p>
    <w:p>
      <w:pPr>
        <w:spacing w:after="120"/>
        <w:ind w:left="720"/>
      </w:pPr>
      <w:r>
        <w:rPr>
          <w:rFonts w:ascii="Calibri" w:cs="Calibri" w:eastAsia="Calibri" w:hAnsi="Calibri"/>
          <w:i/>
          <w:iCs/>
          <w:color w:val="5A636E"/>
          <w:sz w:val="16"/>
          <w:szCs w:val="16"/>
        </w:rPr>
        <w:t xml:space="preserve">Study details: pre-post intervention cohort, 103 Michigan ICUs; endpoint catheter-related bloodstream infections per 1,000 catheter-days.</w:t>
      </w:r>
    </w:p>
    <w:p>
      <w:pPr>
        <w:spacing w:after="160" w:line="276"/>
      </w:pPr>
      <w:r>
        <w:rPr>
          <w:rFonts w:ascii="Calibri" w:cs="Calibri" w:eastAsia="Calibri" w:hAnsi="Calibri"/>
          <w:color w:val="222222"/>
          <w:sz w:val="22"/>
          <w:szCs w:val="22"/>
        </w:rPr>
        <w:t xml:space="preserve">On the last point, the handoff evidence carries the same signature: implementation of the I-PASS structured handoff program was associated with a 23 percent reduction in medical errors.</w:t>
      </w:r>
      <w:r>
        <w:rPr>
          <w:rFonts w:ascii="Calibri" w:cs="Calibri" w:eastAsia="Calibri" w:hAnsi="Calibri"/>
          <w:color w:val="222222"/>
          <w:sz w:val="22"/>
          <w:szCs w:val="22"/>
          <w:vertAlign w:val="superscript"/>
        </w:rPr>
        <w:t xml:space="preserve">10</w:t>
      </w:r>
      <w:r>
        <w:rPr>
          <w:rFonts w:ascii="Calibri" w:cs="Calibri" w:eastAsia="Calibri" w:hAnsi="Calibri"/>
          <w:color w:val="222222"/>
          <w:sz w:val="22"/>
          <w:szCs w:val="22"/>
        </w:rPr>
        <w:t xml:space="preserve"> In both cases the gain came from designing the routine and protecting the time to execute it — not from urging clinicians to be more careful. Policy can distinguish between institutions that have engineered such routines and institutions that have posters.</w:t>
      </w:r>
    </w:p>
    <w:p>
      <w:pPr>
        <w:spacing w:after="160"/>
        <w:ind w:left="720"/>
      </w:pPr>
      <w:r>
        <w:rPr>
          <w:rFonts w:ascii="Calibri" w:cs="Calibri" w:eastAsia="Calibri" w:hAnsi="Calibri"/>
          <w:i/>
          <w:iCs/>
          <w:color w:val="5A636E"/>
          <w:sz w:val="16"/>
          <w:szCs w:val="16"/>
        </w:rPr>
        <w:t xml:space="preserve">Study details: pre-post intervention study, 9 pediatric residency programs; endpoint medical-error rate.</w:t>
      </w:r>
    </w:p>
    <w:p>
      <w:pPr>
        <w:spacing w:after="0" w:before="60" w:line="40" w:lineRule="exact"/>
      </w:pPr>
    </w:p>
    <w:tbl>
      <w:tblPr>
        <w:tblW w:type="dxa" w:w="9360"/>
        <w:tblBorders>
          <w:top w:val="single" w:color="C9CFD8" w:sz="4"/>
          <w:left w:val="single" w:color="C9CFD8" w:sz="4"/>
          <w:bottom w:val="single" w:color="C9CFD8" w:sz="4"/>
          <w:right w:val="single" w:color="C9CFD8" w:sz="4"/>
        </w:tblBorders>
      </w:tblPr>
      <w:tblGrid>
        <w:gridCol w:w="9360"/>
      </w:tblGrid>
      <w:tr>
        <w:tc>
          <w:tcPr>
            <w:tcW w:type="dxa" w:w="9360"/>
            <w:tcBorders>
              <w:top w:val="single" w:color="C9CFD8" w:sz="4"/>
              <w:left w:val="single" w:color="1F3A5F" w:sz="18"/>
              <w:bottom w:val="single" w:color="C9CFD8" w:sz="4"/>
              <w:right w:val="single" w:color="C9CFD8" w:sz="4"/>
            </w:tcBorders>
            <w:shd w:fill="F5F6F8" w:val="clear"/>
            <w:tcMar>
              <w:top w:type="dxa" w:w="120"/>
              <w:left w:type="dxa" w:w="200"/>
              <w:bottom w:type="dxa" w:w="120"/>
              <w:right w:type="dxa" w:w="200"/>
            </w:tcMar>
          </w:tcPr>
          <w:p>
            <w:pPr>
              <w:spacing w:after="40"/>
            </w:pPr>
            <w:r>
              <w:rPr>
                <w:rFonts w:ascii="Calibri" w:cs="Calibri" w:eastAsia="Calibri" w:hAnsi="Calibri"/>
                <w:b/>
                <w:bCs/>
                <w:caps/>
                <w:color w:val="1F3A5F"/>
                <w:sz w:val="20"/>
                <w:szCs w:val="20"/>
              </w:rPr>
              <w:t xml:space="preserve">Measurement specs — a starter set</w:t>
            </w:r>
          </w:p>
          <w:p>
            <w:pPr>
              <w:spacing w:after="80"/>
            </w:pPr>
            <w:r>
              <w:rPr>
                <w:rFonts w:ascii="Calibri" w:cs="Calibri" w:eastAsia="Calibri" w:hAnsi="Calibri"/>
                <w:i/>
                <w:iCs/>
                <w:color w:val="5A636E"/>
                <w:sz w:val="18"/>
                <w:szCs w:val="18"/>
              </w:rPr>
              <w:t xml:space="preserve">Starter definitions; adapt locally. One concrete, auditable spec per recommendation above — enough for a board, regulator, or rating analyst to ask for the number by name.</w:t>
            </w:r>
          </w:p>
          <w:p>
            <w:pPr>
              <w:spacing w:after="60"/>
              <w:ind w:hanging="200" w:left="200"/>
            </w:pPr>
            <w:r>
              <w:rPr>
                <w:rFonts w:ascii="Calibri" w:cs="Calibri" w:eastAsia="Calibri" w:hAnsi="Calibri"/>
                <w:b/>
                <w:bCs/>
                <w:color w:val="1F3A5F"/>
                <w:sz w:val="20"/>
                <w:szCs w:val="20"/>
              </w:rPr>
              <w:t xml:space="preserve">Boarding hours. </w:t>
            </w:r>
            <w:r>
              <w:rPr>
                <w:rFonts w:ascii="Calibri" w:cs="Calibri" w:eastAsia="Calibri" w:hAnsi="Calibri"/>
                <w:color w:val="222222"/>
                <w:sz w:val="20"/>
                <w:szCs w:val="20"/>
              </w:rPr>
              <w:t xml:space="preserve">Numerator: sum, across all ED patients admitted in the month, of the interval from inpatient-bed request to physical arrival in the inpatient bed, in hours. Denominator: report the raw monthly total, and per 100 ED admissions for cross-site comparison.</w:t>
            </w:r>
          </w:p>
          <w:p>
            <w:pPr>
              <w:spacing w:after="60"/>
              <w:ind w:hanging="200" w:left="200"/>
            </w:pPr>
            <w:r>
              <w:rPr>
                <w:rFonts w:ascii="Calibri" w:cs="Calibri" w:eastAsia="Calibri" w:hAnsi="Calibri"/>
                <w:b/>
                <w:bCs/>
                <w:color w:val="1F3A5F"/>
                <w:sz w:val="20"/>
                <w:szCs w:val="20"/>
              </w:rPr>
              <w:t xml:space="preserve">Tail delay. </w:t>
            </w:r>
            <w:r>
              <w:rPr>
                <w:rFonts w:ascii="Calibri" w:cs="Calibri" w:eastAsia="Calibri" w:hAnsi="Calibri"/>
                <w:color w:val="222222"/>
                <w:sz w:val="20"/>
                <w:szCs w:val="20"/>
              </w:rPr>
              <w:t xml:space="preserve">The 90th-percentile ED-to-inpatient interval, computed monthly, reported alongside — never instead of — the median. The pair makes tail-hiding visible: an improving median with a worsening p90 is deterioration.</w:t>
            </w:r>
          </w:p>
          <w:p>
            <w:pPr>
              <w:spacing w:after="60"/>
              <w:ind w:hanging="200" w:left="200"/>
            </w:pPr>
            <w:r>
              <w:rPr>
                <w:rFonts w:ascii="Calibri" w:cs="Calibri" w:eastAsia="Calibri" w:hAnsi="Calibri"/>
                <w:b/>
                <w:bCs/>
                <w:color w:val="1F3A5F"/>
                <w:sz w:val="20"/>
                <w:szCs w:val="20"/>
              </w:rPr>
              <w:t xml:space="preserve">Protected-buffer attestation. </w:t>
            </w:r>
            <w:r>
              <w:rPr>
                <w:rFonts w:ascii="Calibri" w:cs="Calibri" w:eastAsia="Calibri" w:hAnsi="Calibri"/>
                <w:color w:val="222222"/>
                <w:sz w:val="20"/>
                <w:szCs w:val="20"/>
              </w:rPr>
              <w:t xml:space="preserve">Does a written, governed reserve exist — the unit named, the size set from that unit’s own demand data, a named owner, and an override log? Reported as yes/no per unit, plus the override count for the period.</w:t>
            </w:r>
          </w:p>
          <w:p>
            <w:pPr>
              <w:spacing w:after="60"/>
              <w:ind w:hanging="200" w:left="200"/>
            </w:pPr>
            <w:r>
              <w:rPr>
                <w:rFonts w:ascii="Calibri" w:cs="Calibri" w:eastAsia="Calibri" w:hAnsi="Calibri"/>
                <w:b/>
                <w:bCs/>
                <w:color w:val="1F3A5F"/>
                <w:sz w:val="20"/>
                <w:szCs w:val="20"/>
              </w:rPr>
              <w:t xml:space="preserve">Workforce stability. </w:t>
            </w:r>
            <w:r>
              <w:rPr>
                <w:rFonts w:ascii="Calibri" w:cs="Calibri" w:eastAsia="Calibri" w:hAnsi="Calibri"/>
                <w:color w:val="222222"/>
                <w:sz w:val="20"/>
                <w:szCs w:val="20"/>
              </w:rPr>
              <w:t xml:space="preserve">Twelve-month RN voluntary turnover (voluntary separations ÷ average RN headcount), plus the percentage of shift-hours worked by float, travel, or agency staff (non-core shift-hours ÷ total shift-hours).</w:t>
            </w:r>
          </w:p>
          <w:p>
            <w:pPr>
              <w:spacing w:after="80"/>
              <w:ind w:hanging="200" w:left="200"/>
            </w:pPr>
            <w:r>
              <w:rPr>
                <w:rFonts w:ascii="Calibri" w:cs="Calibri" w:eastAsia="Calibri" w:hAnsi="Calibri"/>
                <w:b/>
                <w:bCs/>
                <w:color w:val="1F3A5F"/>
                <w:sz w:val="20"/>
                <w:szCs w:val="20"/>
              </w:rPr>
              <w:t xml:space="preserve">Engineered-routine adoption. </w:t>
            </w:r>
            <w:r>
              <w:rPr>
                <w:rFonts w:ascii="Calibri" w:cs="Calibri" w:eastAsia="Calibri" w:hAnsi="Calibri"/>
                <w:color w:val="222222"/>
                <w:sz w:val="20"/>
                <w:szCs w:val="20"/>
              </w:rPr>
              <w:t xml:space="preserve">Numerator: units running a protected checklist or structured-handoff routine with stop-the-line authority. Denominator: all units eligible for one. Report as a percentage.</w:t>
            </w:r>
          </w:p>
          <w:p>
            <w:pPr>
              <w:spacing w:after="0"/>
            </w:pPr>
            <w:r>
              <w:rPr>
                <w:rFonts w:ascii="Calibri" w:cs="Calibri" w:eastAsia="Calibri" w:hAnsi="Calibri"/>
                <w:i/>
                <w:iCs/>
                <w:color w:val="5A636E"/>
                <w:sz w:val="18"/>
                <w:szCs w:val="18"/>
              </w:rPr>
              <w:t xml:space="preserve">Suggested cadence: monthly to operational leadership; quarterly to the board, regulator, or rating agency.</w:t>
            </w:r>
          </w:p>
          <w:p>
            <w:r>
              <w:rPr>
                <w:b/>
              </w:rPr>
              <w:t>Who can act on this.</w:t>
            </w:r>
          </w:p>
          <w:p>
            <w:r>
              <w:t>Board: put these five measures on the dashboard and govern the protected buffer. Regulator: make the starter definitions a reporting requirement. Rating agency: publish tail-delay and boarding measures, not occupancy alone. Payer: attach incentives to exit velocity and workforce stability rather than utilization.</w:t>
            </w:r>
          </w:p>
          <w:p>
            <w:r>
              <w:rPr>
                <w:b/>
              </w:rPr>
              <w:t>How to use the measures (policy-neutral options).</w:t>
            </w:r>
          </w:p>
          <w:p>
            <w:r>
              <w:t>Three mechanisms, in rising order of force: (1) disclosure — require public reporting on the starter definitions; (2) scoring — incorporate tail-delay, boarding, and stability measures into accreditation or rating frameworks; (3) payment — attach incentive weight to improvement trends, not absolute thresholds, since each unit's safe operating point is local.</w:t>
            </w:r>
          </w:p>
        </w:tc>
      </w:tr>
    </w:tbl>
    <w:p>
      <w:pPr>
        <w:spacing w:after="60" w:line="40" w:lineRule="exact"/>
      </w:pPr>
    </w:p>
    <w:p>
      <w:pPr>
        <w:pStyle w:val="Heading1"/>
        <w:spacing w:after="140" w:before="300"/>
      </w:pPr>
      <w:r>
        <w:rPr>
          <w:rFonts w:ascii="Calibri" w:cs="Calibri" w:eastAsia="Calibri" w:hAnsi="Calibri"/>
          <w:b/>
          <w:bCs/>
          <w:color w:val="1F3A5F"/>
          <w:sz w:val="30"/>
          <w:szCs w:val="30"/>
        </w:rPr>
        <w:t xml:space="preserve">5. Close</w:t>
      </w:r>
    </w:p>
    <w:p>
      <w:pPr>
        <w:spacing w:after="160" w:line="276"/>
      </w:pPr>
      <w:r>
        <w:rPr>
          <w:rFonts w:ascii="Calibri" w:cs="Calibri" w:eastAsia="Calibri" w:hAnsi="Calibri"/>
          <w:color w:val="222222"/>
          <w:sz w:val="22"/>
          <w:szCs w:val="22"/>
        </w:rPr>
        <w:t xml:space="preserve">Reliability is a design achievement. It is produced by systems that hold protected slack, keep teams intact, engineer their critical routines, and measure the delays that predict mortality rather than the averages that flatter. None of that happens by accident, and none of it survives indefinitely in a payment and rating environment that scores fullness as virtue. Policy can either demand the design — or keep paying, in boarding hours, in workforce attrition, and in thirty-day mortality, for its absence.</w:t>
      </w:r>
    </w:p>
    <w:p>
      <w:pPr>
        <w:spacing w:after="160" w:line="276"/>
      </w:pPr>
      <w:r>
        <w:rPr>
          <w:rFonts w:ascii="Calibri" w:cs="Calibri" w:eastAsia="Calibri" w:hAnsi="Calibri"/>
          <w:color w:val="222222"/>
          <w:sz w:val="22"/>
          <w:szCs w:val="22"/>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9CFD8" w:sz="1"/>
              <w:left w:val="single" w:color="2C7A7B" w:sz="18"/>
              <w:bottom w:val="single" w:color="C9CFD8" w:sz="1"/>
              <w:right w:val="single" w:color="C9CFD8" w:sz="1"/>
            </w:tcBorders>
            <w:shd w:fill="E7F1F1" w:val="clear"/>
            <w:tcMar>
              <w:top w:type="dxa" w:w="140"/>
              <w:left w:type="dxa" w:w="200"/>
              <w:bottom w:type="dxa" w:w="140"/>
              <w:right w:type="dxa" w:w="200"/>
            </w:tcMar>
          </w:tcPr>
          <w:p>
            <w:pPr>
              <w:spacing w:after="100"/>
            </w:pPr>
            <w:r>
              <w:rPr>
                <w:rFonts w:ascii="Calibri" w:cs="Calibri" w:eastAsia="Calibri" w:hAnsi="Calibri"/>
                <w:b/>
                <w:bCs/>
                <w:color w:val="1F3A5F"/>
                <w:spacing w:val="15"/>
                <w:sz w:val="20"/>
                <w:szCs w:val="20"/>
              </w:rPr>
              <w:t xml:space="preserve">SIDEBAR — THE 12 LAWS AT A GLANCE</w:t>
            </w:r>
          </w:p>
          <w:p>
            <w:pPr>
              <w:spacing w:after="60"/>
            </w:pPr>
            <w:r>
              <w:rPr>
                <w:rFonts w:ascii="Calibri" w:cs="Calibri" w:eastAsia="Calibri" w:hAnsi="Calibri"/>
                <w:b/>
                <w:bCs/>
                <w:color w:val="2C7A7B"/>
                <w:sz w:val="22"/>
                <w:szCs w:val="22"/>
              </w:rPr>
              <w:t xml:space="preserve">Tier I — The Physics of Flow</w:t>
            </w:r>
          </w:p>
          <w:p>
            <w:pPr>
              <w:spacing w:after="40"/>
            </w:pPr>
            <w:r>
              <w:rPr>
                <w:rFonts w:ascii="Calibri" w:cs="Calibri" w:eastAsia="Calibri" w:hAnsi="Calibri"/>
                <w:color w:val="222222"/>
                <w:sz w:val="22"/>
                <w:szCs w:val="22"/>
              </w:rPr>
              <w:t xml:space="preserve">1. The Invisible Work Law — Coordination work expands wherever visible efficiency leaves no room for it — migrating into after-hours, into memory, and ultimately into error.</w:t>
            </w:r>
          </w:p>
          <w:p>
            <w:pPr>
              <w:spacing w:after="40"/>
            </w:pPr>
            <w:r>
              <w:rPr>
                <w:rFonts w:ascii="Calibri" w:cs="Calibri" w:eastAsia="Calibri" w:hAnsi="Calibri"/>
                <w:color w:val="222222"/>
                <w:sz w:val="22"/>
                <w:szCs w:val="22"/>
              </w:rPr>
              <w:t xml:space="preserve">2. The Utilization Paradox — Past a point, higher utilization buys sharply accelerating delay. A system pushed toward 100% is not efficient; it is seizing.</w:t>
            </w:r>
          </w:p>
          <w:p>
            <w:pPr>
              <w:spacing w:after="40"/>
            </w:pPr>
            <w:r>
              <w:rPr>
                <w:rFonts w:ascii="Calibri" w:cs="Calibri" w:eastAsia="Calibri" w:hAnsi="Calibri"/>
                <w:color w:val="222222"/>
                <w:sz w:val="22"/>
                <w:szCs w:val="22"/>
              </w:rPr>
              <w:t xml:space="preserve">3. The Variability Cascade — Small, unbuffered variations compound across departments until routine delay becomes clinical risk.</w:t>
            </w:r>
          </w:p>
          <w:p>
            <w:pPr>
              <w:spacing w:after="40"/>
            </w:pPr>
            <w:r>
              <w:rPr>
                <w:rFonts w:ascii="Calibri" w:cs="Calibri" w:eastAsia="Calibri" w:hAnsi="Calibri"/>
                <w:color w:val="222222"/>
                <w:sz w:val="22"/>
                <w:szCs w:val="22"/>
              </w:rPr>
              <w:t xml:space="preserve">4. The Fragility Principle — Maximum utilization converts loose coupling into tight coupling. Ordinary disruptions become system-wide collapse.</w:t>
            </w:r>
          </w:p>
          <w:p>
            <w:pPr>
              <w:spacing w:after="100"/>
            </w:pPr>
            <w:r>
              <w:rPr>
                <w:rFonts w:ascii="Calibri" w:cs="Calibri" w:eastAsia="Calibri" w:hAnsi="Calibri"/>
                <w:color w:val="222222"/>
                <w:sz w:val="22"/>
                <w:szCs w:val="22"/>
              </w:rPr>
              <w:t xml:space="preserve">5. The Coordination Tax — Every handoff costs capacity. When information moves slower than clinical need, the system pays in delayed care.</w:t>
            </w:r>
          </w:p>
          <w:p>
            <w:pPr>
              <w:spacing w:after="60"/>
            </w:pPr>
            <w:r>
              <w:rPr>
                <w:rFonts w:ascii="Calibri" w:cs="Calibri" w:eastAsia="Calibri" w:hAnsi="Calibri"/>
                <w:b/>
                <w:bCs/>
                <w:color w:val="2C7A7B"/>
                <w:sz w:val="22"/>
                <w:szCs w:val="22"/>
              </w:rPr>
              <w:t xml:space="preserve">Tier II — The Structural Constraints</w:t>
            </w:r>
          </w:p>
          <w:p>
            <w:pPr>
              <w:spacing w:after="40"/>
            </w:pPr>
            <w:r>
              <w:rPr>
                <w:rFonts w:ascii="Calibri" w:cs="Calibri" w:eastAsia="Calibri" w:hAnsi="Calibri"/>
                <w:color w:val="222222"/>
                <w:sz w:val="22"/>
                <w:szCs w:val="22"/>
              </w:rPr>
              <w:t xml:space="preserve">6. The Team Familiarity Effect — Stable teams build the shared mental models that reduce friction — and, the evidence indicates, lower mortality risk.</w:t>
            </w:r>
          </w:p>
          <w:p>
            <w:pPr>
              <w:spacing w:after="40"/>
            </w:pPr>
            <w:r>
              <w:rPr>
                <w:rFonts w:ascii="Calibri" w:cs="Calibri" w:eastAsia="Calibri" w:hAnsi="Calibri"/>
                <w:color w:val="222222"/>
                <w:sz w:val="22"/>
                <w:szCs w:val="22"/>
              </w:rPr>
              <w:t xml:space="preserve">7. The Workforce Stability Rule — Reliability tracks team stability. The relationships that carry coordination dissolve faster than headcount can replace them.</w:t>
            </w:r>
          </w:p>
          <w:p>
            <w:pPr>
              <w:spacing w:after="40"/>
            </w:pPr>
            <w:r>
              <w:rPr>
                <w:rFonts w:ascii="Calibri" w:cs="Calibri" w:eastAsia="Calibri" w:hAnsi="Calibri"/>
                <w:color w:val="222222"/>
                <w:sz w:val="22"/>
                <w:szCs w:val="22"/>
              </w:rPr>
              <w:t xml:space="preserve">8. The Discharge Bottleneck — Exit velocity governs capacity. A hospital rarely runs out of beds; it runs out of discharges.</w:t>
            </w:r>
          </w:p>
          <w:p>
            <w:pPr>
              <w:spacing w:after="40"/>
            </w:pPr>
            <w:r>
              <w:rPr>
                <w:rFonts w:ascii="Calibri" w:cs="Calibri" w:eastAsia="Calibri" w:hAnsi="Calibri"/>
                <w:color w:val="222222"/>
                <w:sz w:val="22"/>
                <w:szCs w:val="22"/>
              </w:rPr>
              <w:t xml:space="preserve">9. The Clinic Capacity Illusion — A schedule booked to 100% is, for new acute need, already closed.</w:t>
            </w:r>
          </w:p>
          <w:p>
            <w:pPr>
              <w:spacing w:after="100"/>
            </w:pPr>
            <w:r>
              <w:rPr>
                <w:rFonts w:ascii="Calibri" w:cs="Calibri" w:eastAsia="Calibri" w:hAnsi="Calibri"/>
                <w:color w:val="222222"/>
                <w:sz w:val="22"/>
                <w:szCs w:val="22"/>
              </w:rPr>
              <w:t xml:space="preserve">10. The Measurement Error — Systems move toward what they measure. Manage the wrong number and you reward the behaviors that destabilize care.</w:t>
            </w:r>
          </w:p>
          <w:p>
            <w:pPr>
              <w:spacing w:after="60"/>
            </w:pPr>
            <w:r>
              <w:rPr>
                <w:rFonts w:ascii="Calibri" w:cs="Calibri" w:eastAsia="Calibri" w:hAnsi="Calibri"/>
                <w:b/>
                <w:bCs/>
                <w:color w:val="2C7A7B"/>
                <w:sz w:val="22"/>
                <w:szCs w:val="22"/>
              </w:rPr>
              <w:t xml:space="preserve">Tier III — Designing for Reliability</w:t>
            </w:r>
          </w:p>
          <w:p>
            <w:pPr>
              <w:spacing w:after="40"/>
            </w:pPr>
            <w:r>
              <w:rPr>
                <w:rFonts w:ascii="Calibri" w:cs="Calibri" w:eastAsia="Calibri" w:hAnsi="Calibri"/>
                <w:color w:val="222222"/>
                <w:sz w:val="22"/>
                <w:szCs w:val="22"/>
              </w:rPr>
              <w:t xml:space="preserve">11. The Slack Requirement — A protected buffer of idle capacity is not waste. It is the infrastructure of flow, safety, and learning.</w:t>
            </w:r>
          </w:p>
          <w:p>
            <w:pPr>
              <w:spacing w:after="0"/>
            </w:pPr>
            <w:r>
              <w:rPr>
                <w:rFonts w:ascii="Calibri" w:cs="Calibri" w:eastAsia="Calibri" w:hAnsi="Calibri"/>
                <w:color w:val="222222"/>
                <w:sz w:val="22"/>
                <w:szCs w:val="22"/>
              </w:rPr>
              <w:t xml:space="preserve">12. The System Design Law — Optimizing a single part degrades the whole. Reliable organizations engineer global flow, not local productivity.</w:t>
            </w:r>
          </w:p>
        </w:tc>
      </w:tr>
    </w:tbl>
    <w:p>
      <w:pPr>
        <w:pStyle w:val="Heading1"/>
        <w:spacing w:after="140" w:before="300"/>
      </w:pPr>
      <w:r>
        <w:rPr>
          <w:rFonts w:ascii="Calibri" w:cs="Calibri" w:eastAsia="Calibri" w:hAnsi="Calibri"/>
          <w:b/>
          <w:bCs/>
          <w:color w:val="1F3A5F"/>
          <w:sz w:val="30"/>
          <w:szCs w:val="30"/>
        </w:rPr>
        <w:t xml:space="preserve">References</w:t>
      </w:r>
    </w:p>
    <w:p>
      <w:pPr>
        <w:pStyle w:val="ListParagraph"/>
        <w:numPr>
          <w:ilvl w:val="0"/>
          <w:numId w:val="3"/>
        </w:numPr>
        <w:spacing w:after="120" w:line="276"/>
      </w:pPr>
      <w:r>
        <w:rPr>
          <w:rFonts w:ascii="Calibri" w:cs="Calibri" w:eastAsia="Calibri" w:hAnsi="Calibri"/>
          <w:color w:val="222222"/>
          <w:sz w:val="22"/>
          <w:szCs w:val="22"/>
        </w:rPr>
        <w:t xml:space="preserve">Madsen F, Ladelund S, Linneberg A. High levels of bed occupancy associated with increased inpatient and thirty-day hospital mortality in Denmark. Health Aff (Millwood). 2014;33(7):1236-1244.</w:t>
      </w:r>
    </w:p>
    <w:p>
      <w:pPr>
        <w:pStyle w:val="ListParagraph"/>
        <w:numPr>
          <w:ilvl w:val="0"/>
          <w:numId w:val="3"/>
        </w:numPr>
        <w:spacing w:after="120" w:line="276"/>
      </w:pPr>
      <w:r>
        <w:rPr>
          <w:rFonts w:ascii="Calibri" w:cs="Calibri" w:eastAsia="Calibri" w:hAnsi="Calibri"/>
          <w:color w:val="222222"/>
          <w:sz w:val="22"/>
          <w:szCs w:val="22"/>
        </w:rPr>
        <w:t xml:space="preserve">Singer AJ, Thode HC Jr, Viccellio P, Pines JM. The association between length of emergency department boarding and mortality. Acad Emerg Med. 2011;18(12):1324-1329.</w:t>
      </w:r>
    </w:p>
    <w:p>
      <w:pPr>
        <w:pStyle w:val="ListParagraph"/>
        <w:numPr>
          <w:ilvl w:val="0"/>
          <w:numId w:val="3"/>
        </w:numPr>
        <w:spacing w:after="120" w:line="276"/>
      </w:pPr>
      <w:r>
        <w:rPr>
          <w:rFonts w:ascii="Calibri" w:cs="Calibri" w:eastAsia="Calibri" w:hAnsi="Calibri"/>
          <w:color w:val="222222"/>
          <w:sz w:val="22"/>
          <w:szCs w:val="22"/>
        </w:rPr>
        <w:t xml:space="preserve">Bagust A, Place M, Posnett JW. Dynamics of bed use in accommodating emergency admissions: stochastic simulation model. BMJ. 1999;319(7203):155-158.</w:t>
      </w:r>
    </w:p>
    <w:p>
      <w:pPr>
        <w:pStyle w:val="ListParagraph"/>
        <w:numPr>
          <w:ilvl w:val="0"/>
          <w:numId w:val="3"/>
        </w:numPr>
        <w:spacing w:after="120" w:line="276"/>
      </w:pPr>
      <w:r>
        <w:rPr>
          <w:rFonts w:ascii="Calibri" w:cs="Calibri" w:eastAsia="Calibri" w:hAnsi="Calibri"/>
          <w:color w:val="222222"/>
          <w:sz w:val="22"/>
          <w:szCs w:val="22"/>
        </w:rPr>
        <w:t xml:space="preserve">Asplin BR, Magid DJ, Rhodes KV, Solberg LI, Lurie N, Camargo CA Jr. A conceptual model of emergency department crowding. Ann Emerg Med. 2003;42(2):173-180.</w:t>
      </w:r>
    </w:p>
    <w:p>
      <w:pPr>
        <w:pStyle w:val="ListParagraph"/>
        <w:numPr>
          <w:ilvl w:val="0"/>
          <w:numId w:val="3"/>
        </w:numPr>
        <w:spacing w:after="120" w:line="276"/>
      </w:pPr>
      <w:r>
        <w:rPr>
          <w:rFonts w:ascii="Calibri" w:cs="Calibri" w:eastAsia="Calibri" w:hAnsi="Calibri"/>
          <w:color w:val="222222"/>
          <w:sz w:val="22"/>
          <w:szCs w:val="22"/>
        </w:rPr>
        <w:t xml:space="preserve">Green LV. Queueing analysis in health care. In: Hall RW, ed. Patient Flow: Reducing Delay in Healthcare Delivery. Springer; 2006:281-307.</w:t>
      </w:r>
    </w:p>
    <w:p>
      <w:pPr>
        <w:pStyle w:val="ListParagraph"/>
        <w:numPr>
          <w:ilvl w:val="0"/>
          <w:numId w:val="3"/>
        </w:numPr>
        <w:spacing w:after="120" w:line="276"/>
      </w:pPr>
      <w:r>
        <w:rPr>
          <w:rFonts w:ascii="Calibri" w:cs="Calibri" w:eastAsia="Calibri" w:hAnsi="Calibri"/>
          <w:color w:val="222222"/>
          <w:sz w:val="22"/>
          <w:szCs w:val="22"/>
        </w:rPr>
        <w:t xml:space="preserve">Kc DS, Terwiesch C. Impact of workload on service time and patient safety: an econometric analysis of hospital operations. Manage Sci. 2009;55(9):1486-1498.</w:t>
      </w:r>
    </w:p>
    <w:p>
      <w:pPr>
        <w:pStyle w:val="ListParagraph"/>
        <w:numPr>
          <w:ilvl w:val="0"/>
          <w:numId w:val="3"/>
        </w:numPr>
        <w:spacing w:after="120" w:line="276"/>
      </w:pPr>
      <w:r>
        <w:rPr>
          <w:rFonts w:ascii="Calibri" w:cs="Calibri" w:eastAsia="Calibri" w:hAnsi="Calibri"/>
          <w:color w:val="222222"/>
          <w:sz w:val="22"/>
          <w:szCs w:val="22"/>
        </w:rPr>
        <w:t xml:space="preserve">Aiken LH, Sloane DM, Bruyneel L, et al. Nurse staffing and education and hospital mortality in nine European countries: a retrospective observational study. Lancet. 2014;383(9931):1824-1830.</w:t>
      </w:r>
    </w:p>
    <w:p>
      <w:pPr>
        <w:pStyle w:val="ListParagraph"/>
        <w:numPr>
          <w:ilvl w:val="0"/>
          <w:numId w:val="3"/>
        </w:numPr>
        <w:spacing w:after="120" w:line="276"/>
      </w:pPr>
      <w:r>
        <w:rPr>
          <w:rFonts w:ascii="Calibri" w:cs="Calibri" w:eastAsia="Calibri" w:hAnsi="Calibri"/>
          <w:color w:val="222222"/>
          <w:sz w:val="22"/>
          <w:szCs w:val="22"/>
        </w:rPr>
        <w:t xml:space="preserve">Duclos A, Payet C, Baboi L, et al. Nurse-to-nurse familiarity and mortality in the critically ill: a multicenter observational study. Am J Respir Crit Care Med. 2023;207(8):1022-1029.</w:t>
      </w:r>
    </w:p>
    <w:p>
      <w:pPr>
        <w:pStyle w:val="ListParagraph"/>
        <w:numPr>
          <w:ilvl w:val="0"/>
          <w:numId w:val="3"/>
        </w:numPr>
        <w:spacing w:after="120" w:line="276"/>
      </w:pPr>
      <w:r>
        <w:rPr>
          <w:rFonts w:ascii="Calibri" w:cs="Calibri" w:eastAsia="Calibri" w:hAnsi="Calibri"/>
          <w:color w:val="222222"/>
          <w:sz w:val="22"/>
          <w:szCs w:val="22"/>
        </w:rPr>
        <w:t xml:space="preserve">Pronovost P, Needham D, Berenholtz S, et al. An intervention to decrease catheter-related bloodstream infections in the ICU. N Engl J Med. 2006;355(26):2725-2732.</w:t>
      </w:r>
    </w:p>
    <w:p>
      <w:pPr>
        <w:pStyle w:val="ListParagraph"/>
        <w:numPr>
          <w:ilvl w:val="0"/>
          <w:numId w:val="3"/>
        </w:numPr>
        <w:spacing w:after="120" w:line="276"/>
      </w:pPr>
      <w:r>
        <w:rPr>
          <w:rFonts w:ascii="Calibri" w:cs="Calibri" w:eastAsia="Calibri" w:hAnsi="Calibri"/>
          <w:color w:val="222222"/>
          <w:sz w:val="22"/>
          <w:szCs w:val="22"/>
        </w:rPr>
        <w:t xml:space="preserve">Starmer AJ, Spector ND, Srivastava R, et al. Changes in medical errors after implementation of a handoff program. N Engl J Med. 2014;371(19):1803-1812.</w:t>
      </w:r>
    </w:p>
    <w:p>
      <w:pPr>
        <w:pStyle w:val="Heading1"/>
        <w:pageBreakBefore/>
        <w:spacing w:after="140" w:before="0"/>
      </w:pPr>
      <w:r>
        <w:rPr>
          <w:rFonts w:ascii="Calibri" w:cs="Calibri" w:eastAsia="Calibri" w:hAnsi="Calibri"/>
          <w:b/>
          <w:bCs/>
          <w:color w:val="1F3A5F"/>
          <w:sz w:val="26"/>
          <w:szCs w:val="26"/>
        </w:rPr>
        <w:t xml:space="preserve">Appendix — every claim, its source, and the effect as reported.</w:t>
      </w:r>
    </w:p>
    <w:tbl>
      <w:tblPr>
        <w:tblW w:type="dxa" w:w="9360"/>
        <w:tblBorders>
          <w:top w:val="single" w:color="C9CFD8" w:sz="4"/>
          <w:left w:val="single" w:color="C9CFD8" w:sz="4"/>
          <w:bottom w:val="single" w:color="C9CFD8" w:sz="4"/>
          <w:right w:val="single" w:color="C9CFD8" w:sz="4"/>
          <w:insideH w:val="single" w:color="C9CFD8" w:sz="4"/>
          <w:insideV w:val="single" w:color="C9CFD8" w:sz="4"/>
        </w:tblBorders>
        <w:tblCellMar>
          <w:top w:type="dxa" w:w="30"/>
          <w:left w:type="dxa" w:w="80"/>
          <w:bottom w:type="dxa" w:w="30"/>
          <w:right w:type="dxa" w:w="80"/>
        </w:tblCellMar>
      </w:tblPr>
      <w:tblGrid>
        <w:gridCol w:w="1900"/>
        <w:gridCol w:w="1290"/>
        <w:gridCol w:w="2150"/>
        <w:gridCol w:w="1220"/>
        <w:gridCol w:w="2800"/>
      </w:tblGrid>
      <w:tr>
        <w:trPr>
          <w:tblHeader/>
        </w:trPr>
        <w:tc>
          <w:tcPr>
            <w:tcW w:type="dxa" w:w="1900"/>
            <w:shd w:fill="E7F1F1" w:val="clear"/>
          </w:tcPr>
          <w:p>
            <w:pPr>
              <w:spacing w:after="0"/>
            </w:pPr>
            <w:r>
              <w:rPr>
                <w:rFonts w:ascii="Calibri" w:cs="Calibri" w:eastAsia="Calibri" w:hAnsi="Calibri"/>
                <w:b/>
                <w:bCs/>
                <w:color w:val="1F3A5F"/>
                <w:sz w:val="16"/>
                <w:szCs w:val="16"/>
              </w:rPr>
              <w:t xml:space="preserve">Claim</w:t>
            </w:r>
          </w:p>
        </w:tc>
        <w:tc>
          <w:tcPr>
            <w:tcW w:type="dxa" w:w="1290"/>
            <w:shd w:fill="E7F1F1" w:val="clear"/>
          </w:tcPr>
          <w:p>
            <w:pPr>
              <w:spacing w:after="0"/>
            </w:pPr>
            <w:r>
              <w:rPr>
                <w:rFonts w:ascii="Calibri" w:cs="Calibri" w:eastAsia="Calibri" w:hAnsi="Calibri"/>
                <w:b/>
                <w:bCs/>
                <w:color w:val="1F3A5F"/>
                <w:sz w:val="16"/>
                <w:szCs w:val="16"/>
              </w:rPr>
              <w:t xml:space="preserve">Source</w:t>
            </w:r>
          </w:p>
        </w:tc>
        <w:tc>
          <w:tcPr>
            <w:tcW w:type="dxa" w:w="2150"/>
            <w:shd w:fill="E7F1F1" w:val="clear"/>
          </w:tcPr>
          <w:p>
            <w:pPr>
              <w:spacing w:after="0"/>
            </w:pPr>
            <w:r>
              <w:rPr>
                <w:rFonts w:ascii="Calibri" w:cs="Calibri" w:eastAsia="Calibri" w:hAnsi="Calibri"/>
                <w:b/>
                <w:bCs/>
                <w:color w:val="1F3A5F"/>
                <w:sz w:val="16"/>
                <w:szCs w:val="16"/>
              </w:rPr>
              <w:t xml:space="preserve">Setting &amp; population</w:t>
            </w:r>
          </w:p>
        </w:tc>
        <w:tc>
          <w:tcPr>
            <w:tcW w:type="dxa" w:w="1220"/>
            <w:shd w:fill="E7F1F1" w:val="clear"/>
          </w:tcPr>
          <w:p>
            <w:pPr>
              <w:spacing w:after="0"/>
            </w:pPr>
            <w:r>
              <w:rPr>
                <w:rFonts w:ascii="Calibri" w:cs="Calibri" w:eastAsia="Calibri" w:hAnsi="Calibri"/>
                <w:b/>
                <w:bCs/>
                <w:color w:val="1F3A5F"/>
                <w:sz w:val="16"/>
                <w:szCs w:val="16"/>
              </w:rPr>
              <w:t xml:space="preserve">Endpoint</w:t>
            </w:r>
          </w:p>
        </w:tc>
        <w:tc>
          <w:tcPr>
            <w:tcW w:type="dxa" w:w="2800"/>
            <w:shd w:fill="E7F1F1" w:val="clear"/>
          </w:tcPr>
          <w:p>
            <w:pPr>
              <w:spacing w:after="0"/>
            </w:pPr>
            <w:r>
              <w:rPr>
                <w:rFonts w:ascii="Calibri" w:cs="Calibri" w:eastAsia="Calibri" w:hAnsi="Calibri"/>
                <w:b/>
                <w:bCs/>
                <w:color w:val="1F3A5F"/>
                <w:sz w:val="16"/>
                <w:szCs w:val="16"/>
              </w:rPr>
              <w:t xml:space="preserve">Effect as reported</w:t>
            </w:r>
          </w:p>
        </w:tc>
      </w:tr>
      <w:tr>
        <w:tc>
          <w:tcPr>
            <w:tcW w:type="dxa" w:w="1900"/>
          </w:tcPr>
          <w:p>
            <w:pPr>
              <w:spacing w:after="0"/>
            </w:pPr>
            <w:r>
              <w:rPr>
                <w:rFonts w:ascii="Calibri" w:cs="Calibri" w:eastAsia="Calibri" w:hAnsi="Calibri"/>
                <w:color w:val="222222"/>
                <w:sz w:val="16"/>
                <w:szCs w:val="16"/>
              </w:rPr>
              <w:t xml:space="preserve">Higher occupancy is associated with higher mortality (dose-response)</w:t>
            </w:r>
          </w:p>
        </w:tc>
        <w:tc>
          <w:tcPr>
            <w:tcW w:type="dxa" w:w="1290"/>
          </w:tcPr>
          <w:p>
            <w:pPr>
              <w:spacing w:after="0"/>
            </w:pPr>
            <w:r>
              <w:rPr>
                <w:rFonts w:ascii="Calibri" w:cs="Calibri" w:eastAsia="Calibri" w:hAnsi="Calibri"/>
                <w:color w:val="222222"/>
                <w:sz w:val="16"/>
                <w:szCs w:val="16"/>
              </w:rPr>
              <w:t xml:space="preserve">Madsen, Health Aff 2014</w:t>
            </w:r>
          </w:p>
        </w:tc>
        <w:tc>
          <w:tcPr>
            <w:tcW w:type="dxa" w:w="2150"/>
          </w:tcPr>
          <w:p>
            <w:pPr>
              <w:spacing w:after="0"/>
            </w:pPr>
            <w:r>
              <w:rPr>
                <w:rFonts w:ascii="Calibri" w:cs="Calibri" w:eastAsia="Calibri" w:hAnsi="Calibri"/>
                <w:color w:val="222222"/>
                <w:sz w:val="16"/>
                <w:szCs w:val="16"/>
              </w:rPr>
              <w:t xml:space="preserve">2.65M admissions, Danish medical departments, 1995-2012</w:t>
            </w:r>
          </w:p>
        </w:tc>
        <w:tc>
          <w:tcPr>
            <w:tcW w:type="dxa" w:w="1220"/>
          </w:tcPr>
          <w:p>
            <w:pPr>
              <w:spacing w:after="0"/>
            </w:pPr>
            <w:r>
              <w:rPr>
                <w:rFonts w:ascii="Calibri" w:cs="Calibri" w:eastAsia="Calibri" w:hAnsi="Calibri"/>
                <w:color w:val="222222"/>
                <w:sz w:val="16"/>
                <w:szCs w:val="16"/>
              </w:rPr>
              <w:t xml:space="preserve">In-hospital + 30-day mortality</w:t>
            </w:r>
          </w:p>
        </w:tc>
        <w:tc>
          <w:tcPr>
            <w:tcW w:type="dxa" w:w="2800"/>
          </w:tcPr>
          <w:p>
            <w:pPr>
              <w:spacing w:after="0"/>
            </w:pPr>
            <w:r>
              <w:rPr>
                <w:rFonts w:ascii="Calibri" w:cs="Calibri" w:eastAsia="Calibri" w:hAnsi="Calibri"/>
                <w:color w:val="222222"/>
                <w:sz w:val="16"/>
                <w:szCs w:val="16"/>
              </w:rPr>
              <w:t xml:space="preserve">Mortality rose with occupancy band; dose-response, adjusted.</w:t>
            </w:r>
          </w:p>
        </w:tc>
      </w:tr>
      <w:tr>
        <w:tc>
          <w:tcPr>
            <w:tcW w:type="dxa" w:w="1900"/>
          </w:tcPr>
          <w:p>
            <w:pPr>
              <w:spacing w:after="0"/>
            </w:pPr>
            <w:r>
              <w:rPr>
                <w:rFonts w:ascii="Calibri" w:cs="Calibri" w:eastAsia="Calibri" w:hAnsi="Calibri"/>
                <w:color w:val="222222"/>
                <w:sz w:val="16"/>
                <w:szCs w:val="16"/>
              </w:rPr>
              <w:t xml:space="preserve">Longer ED boarding is associated with higher mortality</w:t>
            </w:r>
          </w:p>
        </w:tc>
        <w:tc>
          <w:tcPr>
            <w:tcW w:type="dxa" w:w="1290"/>
          </w:tcPr>
          <w:p>
            <w:pPr>
              <w:spacing w:after="0"/>
            </w:pPr>
            <w:r>
              <w:rPr>
                <w:rFonts w:ascii="Calibri" w:cs="Calibri" w:eastAsia="Calibri" w:hAnsi="Calibri"/>
                <w:color w:val="222222"/>
                <w:sz w:val="16"/>
                <w:szCs w:val="16"/>
              </w:rPr>
              <w:t xml:space="preserve">Singer, Acad Emerg Med 2011</w:t>
            </w:r>
          </w:p>
        </w:tc>
        <w:tc>
          <w:tcPr>
            <w:tcW w:type="dxa" w:w="2150"/>
          </w:tcPr>
          <w:p>
            <w:pPr>
              <w:spacing w:after="0"/>
            </w:pPr>
            <w:r>
              <w:rPr>
                <w:rFonts w:ascii="Calibri" w:cs="Calibri" w:eastAsia="Calibri" w:hAnsi="Calibri"/>
                <w:color w:val="222222"/>
                <w:sz w:val="16"/>
                <w:szCs w:val="16"/>
              </w:rPr>
              <w:t xml:space="preserve">Retrospective cohort, 41,256 adult ED admissions, one academic center</w:t>
            </w:r>
          </w:p>
        </w:tc>
        <w:tc>
          <w:tcPr>
            <w:tcW w:type="dxa" w:w="1220"/>
          </w:tcPr>
          <w:p>
            <w:pPr>
              <w:spacing w:after="0"/>
            </w:pPr>
            <w:r>
              <w:rPr>
                <w:rFonts w:ascii="Calibri" w:cs="Calibri" w:eastAsia="Calibri" w:hAnsi="Calibri"/>
                <w:color w:val="222222"/>
                <w:sz w:val="16"/>
                <w:szCs w:val="16"/>
              </w:rPr>
              <w:t xml:space="preserve">In-hospital mortality</w:t>
            </w:r>
          </w:p>
        </w:tc>
        <w:tc>
          <w:tcPr>
            <w:tcW w:type="dxa" w:w="2800"/>
          </w:tcPr>
          <w:p>
            <w:pPr>
              <w:spacing w:after="0"/>
            </w:pPr>
            <w:r>
              <w:rPr>
                <w:rFonts w:ascii="Calibri" w:cs="Calibri" w:eastAsia="Calibri" w:hAnsi="Calibri"/>
                <w:color w:val="222222"/>
                <w:sz w:val="16"/>
                <w:szCs w:val="16"/>
              </w:rPr>
              <w:t xml:space="preserve">Crude mortality 2.5% (&lt;2 h) vs 4.5% (≥12 h); persisted after adjustment for comorbidities; mean LOS 5.6 vs 8.7 days.</w:t>
            </w:r>
          </w:p>
        </w:tc>
      </w:tr>
      <w:tr>
        <w:tc>
          <w:tcPr>
            <w:tcW w:type="dxa" w:w="1900"/>
          </w:tcPr>
          <w:p>
            <w:pPr>
              <w:spacing w:after="0"/>
            </w:pPr>
            <w:r>
              <w:rPr>
                <w:rFonts w:ascii="Calibri" w:cs="Calibri" w:eastAsia="Calibri" w:hAnsi="Calibri"/>
                <w:color w:val="222222"/>
                <w:sz w:val="16"/>
                <w:szCs w:val="16"/>
              </w:rPr>
              <w:t xml:space="preserve">Bed crises become frequent well below full occupancy</w:t>
            </w:r>
          </w:p>
        </w:tc>
        <w:tc>
          <w:tcPr>
            <w:tcW w:type="dxa" w:w="1290"/>
          </w:tcPr>
          <w:p>
            <w:pPr>
              <w:spacing w:after="0"/>
            </w:pPr>
            <w:r>
              <w:rPr>
                <w:rFonts w:ascii="Calibri" w:cs="Calibri" w:eastAsia="Calibri" w:hAnsi="Calibri"/>
                <w:color w:val="222222"/>
                <w:sz w:val="16"/>
                <w:szCs w:val="16"/>
              </w:rPr>
              <w:t xml:space="preserve">Bagust, BMJ 1999</w:t>
            </w:r>
          </w:p>
        </w:tc>
        <w:tc>
          <w:tcPr>
            <w:tcW w:type="dxa" w:w="2150"/>
          </w:tcPr>
          <w:p>
            <w:pPr>
              <w:spacing w:after="0"/>
            </w:pPr>
            <w:r>
              <w:rPr>
                <w:rFonts w:ascii="Calibri" w:cs="Calibri" w:eastAsia="Calibri" w:hAnsi="Calibri"/>
                <w:color w:val="222222"/>
                <w:sz w:val="16"/>
                <w:szCs w:val="16"/>
              </w:rPr>
              <w:t xml:space="preserve">Discrete-event simulation of a typical mixed ward</w:t>
            </w:r>
          </w:p>
        </w:tc>
        <w:tc>
          <w:tcPr>
            <w:tcW w:type="dxa" w:w="1220"/>
          </w:tcPr>
          <w:p>
            <w:pPr>
              <w:spacing w:after="0"/>
            </w:pPr>
            <w:r>
              <w:rPr>
                <w:rFonts w:ascii="Calibri" w:cs="Calibri" w:eastAsia="Calibri" w:hAnsi="Calibri"/>
                <w:color w:val="222222"/>
                <w:sz w:val="16"/>
                <w:szCs w:val="16"/>
              </w:rPr>
              <w:t xml:space="preserve">Frequency of bed crises</w:t>
            </w:r>
          </w:p>
        </w:tc>
        <w:tc>
          <w:tcPr>
            <w:tcW w:type="dxa" w:w="2800"/>
          </w:tcPr>
          <w:p>
            <w:pPr>
              <w:spacing w:after="0"/>
            </w:pPr>
            <w:r>
              <w:rPr>
                <w:rFonts w:ascii="Calibri" w:cs="Calibri" w:eastAsia="Calibri" w:hAnsi="Calibri"/>
                <w:color w:val="222222"/>
                <w:sz w:val="16"/>
                <w:szCs w:val="16"/>
              </w:rPr>
              <w:t xml:space="preserve">Risks become frequent above ~85% average occupancy; size-dependent benchmark.</w:t>
            </w:r>
          </w:p>
        </w:tc>
      </w:tr>
      <w:tr>
        <w:tc>
          <w:tcPr>
            <w:tcW w:type="dxa" w:w="1900"/>
          </w:tcPr>
          <w:p>
            <w:pPr>
              <w:spacing w:after="0"/>
            </w:pPr>
            <w:r>
              <w:rPr>
                <w:rFonts w:ascii="Calibri" w:cs="Calibri" w:eastAsia="Calibri" w:hAnsi="Calibri"/>
                <w:color w:val="222222"/>
                <w:sz w:val="16"/>
                <w:szCs w:val="16"/>
              </w:rPr>
              <w:t xml:space="preserve">Each added patient per nurse is associated with higher odds of death</w:t>
            </w:r>
          </w:p>
        </w:tc>
        <w:tc>
          <w:tcPr>
            <w:tcW w:type="dxa" w:w="1290"/>
          </w:tcPr>
          <w:p>
            <w:pPr>
              <w:spacing w:after="0"/>
            </w:pPr>
            <w:r>
              <w:rPr>
                <w:rFonts w:ascii="Calibri" w:cs="Calibri" w:eastAsia="Calibri" w:hAnsi="Calibri"/>
                <w:color w:val="222222"/>
                <w:sz w:val="16"/>
                <w:szCs w:val="16"/>
              </w:rPr>
              <w:t xml:space="preserve">Aiken, Lancet 2014</w:t>
            </w:r>
          </w:p>
        </w:tc>
        <w:tc>
          <w:tcPr>
            <w:tcW w:type="dxa" w:w="2150"/>
          </w:tcPr>
          <w:p>
            <w:pPr>
              <w:spacing w:after="0"/>
            </w:pPr>
            <w:r>
              <w:rPr>
                <w:rFonts w:ascii="Calibri" w:cs="Calibri" w:eastAsia="Calibri" w:hAnsi="Calibri"/>
                <w:color w:val="222222"/>
                <w:sz w:val="16"/>
                <w:szCs w:val="16"/>
              </w:rPr>
              <w:t xml:space="preserve">422,730 surgical patients, 300 hospitals, 9 European countries</w:t>
            </w:r>
          </w:p>
        </w:tc>
        <w:tc>
          <w:tcPr>
            <w:tcW w:type="dxa" w:w="1220"/>
          </w:tcPr>
          <w:p>
            <w:pPr>
              <w:spacing w:after="0"/>
            </w:pPr>
            <w:r>
              <w:rPr>
                <w:rFonts w:ascii="Calibri" w:cs="Calibri" w:eastAsia="Calibri" w:hAnsi="Calibri"/>
                <w:color w:val="222222"/>
                <w:sz w:val="16"/>
                <w:szCs w:val="16"/>
              </w:rPr>
              <w:t xml:space="preserve">30-day inpatient mortality</w:t>
            </w:r>
          </w:p>
        </w:tc>
        <w:tc>
          <w:tcPr>
            <w:tcW w:type="dxa" w:w="2800"/>
          </w:tcPr>
          <w:p>
            <w:pPr>
              <w:spacing w:after="0"/>
            </w:pPr>
            <w:r>
              <w:rPr>
                <w:rFonts w:ascii="Calibri" w:cs="Calibri" w:eastAsia="Calibri" w:hAnsi="Calibri"/>
                <w:color w:val="222222"/>
                <w:sz w:val="16"/>
                <w:szCs w:val="16"/>
              </w:rPr>
              <w:t xml:space="preserve">Adjusted OR 1.068 per +1 patient/nurse (~7% higher odds).</w:t>
            </w:r>
          </w:p>
        </w:tc>
      </w:tr>
      <w:tr>
        <w:tc>
          <w:tcPr>
            <w:tcW w:type="dxa" w:w="1900"/>
          </w:tcPr>
          <w:p>
            <w:pPr>
              <w:spacing w:after="0"/>
            </w:pPr>
            <w:r>
              <w:rPr>
                <w:rFonts w:ascii="Calibri" w:cs="Calibri" w:eastAsia="Calibri" w:hAnsi="Calibri"/>
                <w:color w:val="222222"/>
                <w:sz w:val="16"/>
                <w:szCs w:val="16"/>
              </w:rPr>
              <w:t xml:space="preserve">Higher share of bachelor’s-educated nurses is associated with lower odds of death</w:t>
            </w:r>
          </w:p>
        </w:tc>
        <w:tc>
          <w:tcPr>
            <w:tcW w:type="dxa" w:w="1290"/>
          </w:tcPr>
          <w:p>
            <w:pPr>
              <w:spacing w:after="0"/>
            </w:pPr>
            <w:r>
              <w:rPr>
                <w:rFonts w:ascii="Calibri" w:cs="Calibri" w:eastAsia="Calibri" w:hAnsi="Calibri"/>
                <w:color w:val="222222"/>
                <w:sz w:val="16"/>
                <w:szCs w:val="16"/>
              </w:rPr>
              <w:t xml:space="preserve">Aiken, Lancet 2014</w:t>
            </w:r>
          </w:p>
        </w:tc>
        <w:tc>
          <w:tcPr>
            <w:tcW w:type="dxa" w:w="2150"/>
          </w:tcPr>
          <w:p>
            <w:pPr>
              <w:spacing w:after="0"/>
            </w:pPr>
            <w:r>
              <w:rPr>
                <w:rFonts w:ascii="Calibri" w:cs="Calibri" w:eastAsia="Calibri" w:hAnsi="Calibri"/>
                <w:color w:val="222222"/>
                <w:sz w:val="16"/>
                <w:szCs w:val="16"/>
              </w:rPr>
              <w:t xml:space="preserve">422,730 surgical patients, 300 hospitals, 9 European countries</w:t>
            </w:r>
          </w:p>
        </w:tc>
        <w:tc>
          <w:tcPr>
            <w:tcW w:type="dxa" w:w="1220"/>
          </w:tcPr>
          <w:p>
            <w:pPr>
              <w:spacing w:after="0"/>
            </w:pPr>
            <w:r>
              <w:rPr>
                <w:rFonts w:ascii="Calibri" w:cs="Calibri" w:eastAsia="Calibri" w:hAnsi="Calibri"/>
                <w:color w:val="222222"/>
                <w:sz w:val="16"/>
                <w:szCs w:val="16"/>
              </w:rPr>
              <w:t xml:space="preserve">30-day inpatient mortality</w:t>
            </w:r>
          </w:p>
        </w:tc>
        <w:tc>
          <w:tcPr>
            <w:tcW w:type="dxa" w:w="2800"/>
          </w:tcPr>
          <w:p>
            <w:pPr>
              <w:spacing w:after="0"/>
            </w:pPr>
            <w:r>
              <w:rPr>
                <w:rFonts w:ascii="Calibri" w:cs="Calibri" w:eastAsia="Calibri" w:hAnsi="Calibri"/>
                <w:color w:val="222222"/>
                <w:sz w:val="16"/>
                <w:szCs w:val="16"/>
              </w:rPr>
              <w:t xml:space="preserve">Adjusted OR 0.929 per +10pp BSN share (~7% lower odds).</w:t>
            </w:r>
          </w:p>
        </w:tc>
      </w:tr>
      <w:tr>
        <w:tc>
          <w:tcPr>
            <w:tcW w:type="dxa" w:w="1900"/>
          </w:tcPr>
          <w:p>
            <w:pPr>
              <w:spacing w:after="0"/>
            </w:pPr>
            <w:r>
              <w:rPr>
                <w:rFonts w:ascii="Calibri" w:cs="Calibri" w:eastAsia="Calibri" w:hAnsi="Calibri"/>
                <w:color w:val="222222"/>
                <w:sz w:val="16"/>
                <w:szCs w:val="16"/>
              </w:rPr>
              <w:t xml:space="preserve">Low team familiarity plus thin staffing is associated with higher risk of death</w:t>
            </w:r>
          </w:p>
        </w:tc>
        <w:tc>
          <w:tcPr>
            <w:tcW w:type="dxa" w:w="1290"/>
          </w:tcPr>
          <w:p>
            <w:pPr>
              <w:spacing w:after="0"/>
            </w:pPr>
            <w:r>
              <w:rPr>
                <w:rFonts w:ascii="Calibri" w:cs="Calibri" w:eastAsia="Calibri" w:hAnsi="Calibri"/>
                <w:color w:val="222222"/>
                <w:sz w:val="16"/>
                <w:szCs w:val="16"/>
              </w:rPr>
              <w:t xml:space="preserve">Duclos, AJRCCM 2023</w:t>
            </w:r>
          </w:p>
        </w:tc>
        <w:tc>
          <w:tcPr>
            <w:tcW w:type="dxa" w:w="2150"/>
          </w:tcPr>
          <w:p>
            <w:pPr>
              <w:spacing w:after="0"/>
            </w:pPr>
            <w:r>
              <w:rPr>
                <w:rFonts w:ascii="Calibri" w:cs="Calibri" w:eastAsia="Calibri" w:hAnsi="Calibri"/>
                <w:color w:val="222222"/>
                <w:sz w:val="16"/>
                <w:szCs w:val="16"/>
              </w:rPr>
              <w:t xml:space="preserve">8 ICUs, 43,479 patients</w:t>
            </w:r>
          </w:p>
        </w:tc>
        <w:tc>
          <w:tcPr>
            <w:tcW w:type="dxa" w:w="1220"/>
          </w:tcPr>
          <w:p>
            <w:pPr>
              <w:spacing w:after="0"/>
            </w:pPr>
            <w:r>
              <w:rPr>
                <w:rFonts w:ascii="Calibri" w:cs="Calibri" w:eastAsia="Calibri" w:hAnsi="Calibri"/>
                <w:color w:val="222222"/>
                <w:sz w:val="16"/>
                <w:szCs w:val="16"/>
              </w:rPr>
              <w:t xml:space="preserve">Death</w:t>
            </w:r>
          </w:p>
        </w:tc>
        <w:tc>
          <w:tcPr>
            <w:tcW w:type="dxa" w:w="2800"/>
          </w:tcPr>
          <w:p>
            <w:pPr>
              <w:spacing w:after="0"/>
            </w:pPr>
            <w:r>
              <w:rPr>
                <w:rFonts w:ascii="Calibri" w:cs="Calibri" w:eastAsia="Calibri" w:hAnsi="Calibri"/>
                <w:color w:val="222222"/>
                <w:sz w:val="16"/>
                <w:szCs w:val="16"/>
              </w:rPr>
              <w:t xml:space="preserve">Adjusted RR 1.84 (95% CI 1.15-2.96) for low nurse-to-nurse familiarity + suboptimal ratios.</w:t>
            </w:r>
          </w:p>
        </w:tc>
      </w:tr>
      <w:tr>
        <w:tc>
          <w:tcPr>
            <w:tcW w:type="dxa" w:w="1900"/>
          </w:tcPr>
          <w:p>
            <w:pPr>
              <w:spacing w:after="0"/>
            </w:pPr>
            <w:r>
              <w:rPr>
                <w:rFonts w:ascii="Calibri" w:cs="Calibri" w:eastAsia="Calibri" w:hAnsi="Calibri"/>
                <w:color w:val="222222"/>
                <w:sz w:val="16"/>
                <w:szCs w:val="16"/>
              </w:rPr>
              <w:t xml:space="preserve">Crowding is an input-throughput-output problem; the dominant failure is output</w:t>
            </w:r>
          </w:p>
        </w:tc>
        <w:tc>
          <w:tcPr>
            <w:tcW w:type="dxa" w:w="1290"/>
          </w:tcPr>
          <w:p>
            <w:pPr>
              <w:spacing w:after="0"/>
            </w:pPr>
            <w:r>
              <w:rPr>
                <w:rFonts w:ascii="Calibri" w:cs="Calibri" w:eastAsia="Calibri" w:hAnsi="Calibri"/>
                <w:color w:val="222222"/>
                <w:sz w:val="16"/>
                <w:szCs w:val="16"/>
              </w:rPr>
              <w:t xml:space="preserve">Asplin, Ann Emerg Med 2003</w:t>
            </w:r>
          </w:p>
        </w:tc>
        <w:tc>
          <w:tcPr>
            <w:tcW w:type="dxa" w:w="2150"/>
          </w:tcPr>
          <w:p>
            <w:pPr>
              <w:spacing w:after="0"/>
            </w:pPr>
            <w:r>
              <w:rPr>
                <w:rFonts w:ascii="Calibri" w:cs="Calibri" w:eastAsia="Calibri" w:hAnsi="Calibri"/>
                <w:color w:val="222222"/>
                <w:sz w:val="16"/>
                <w:szCs w:val="16"/>
              </w:rPr>
              <w:t xml:space="preserve">Conceptual model of ED crowding</w:t>
            </w:r>
          </w:p>
        </w:tc>
        <w:tc>
          <w:tcPr>
            <w:tcW w:type="dxa" w:w="1220"/>
          </w:tcPr>
          <w:p>
            <w:pPr>
              <w:spacing w:after="0"/>
            </w:pPr>
            <w:r>
              <w:rPr>
                <w:rFonts w:ascii="Calibri" w:cs="Calibri" w:eastAsia="Calibri" w:hAnsi="Calibri"/>
                <w:color w:val="222222"/>
                <w:sz w:val="16"/>
                <w:szCs w:val="16"/>
              </w:rPr>
              <w:t xml:space="preserve">None (framework)</w:t>
            </w:r>
          </w:p>
        </w:tc>
        <w:tc>
          <w:tcPr>
            <w:tcW w:type="dxa" w:w="2800"/>
          </w:tcPr>
          <w:p>
            <w:pPr>
              <w:spacing w:after="0"/>
            </w:pPr>
            <w:r>
              <w:rPr>
                <w:rFonts w:ascii="Calibri" w:cs="Calibri" w:eastAsia="Calibri" w:hAnsi="Calibri"/>
                <w:color w:val="222222"/>
                <w:sz w:val="16"/>
                <w:szCs w:val="16"/>
              </w:rPr>
              <w:t xml:space="preserve">Framework, not an effect estimate; identifies output block (boarding, post-acute exit) as the dominant failure.</w:t>
            </w:r>
          </w:p>
        </w:tc>
      </w:tr>
      <w:tr>
        <w:tc>
          <w:tcPr>
            <w:tcW w:type="dxa" w:w="1900"/>
          </w:tcPr>
          <w:p>
            <w:pPr>
              <w:spacing w:after="0"/>
            </w:pPr>
            <w:r>
              <w:rPr>
                <w:rFonts w:ascii="Calibri" w:cs="Calibri" w:eastAsia="Calibri" w:hAnsi="Calibri"/>
                <w:color w:val="222222"/>
                <w:sz w:val="16"/>
                <w:szCs w:val="16"/>
              </w:rPr>
              <w:t xml:space="preserve">Removing beds increases delay non-linearly</w:t>
            </w:r>
          </w:p>
        </w:tc>
        <w:tc>
          <w:tcPr>
            <w:tcW w:type="dxa" w:w="1290"/>
          </w:tcPr>
          <w:p>
            <w:pPr>
              <w:spacing w:after="0"/>
            </w:pPr>
            <w:r>
              <w:rPr>
                <w:rFonts w:ascii="Calibri" w:cs="Calibri" w:eastAsia="Calibri" w:hAnsi="Calibri"/>
                <w:color w:val="222222"/>
                <w:sz w:val="16"/>
                <w:szCs w:val="16"/>
              </w:rPr>
              <w:t xml:space="preserve">Green, Patient Flow, Springer 2006</w:t>
            </w:r>
          </w:p>
        </w:tc>
        <w:tc>
          <w:tcPr>
            <w:tcW w:type="dxa" w:w="2150"/>
          </w:tcPr>
          <w:p>
            <w:pPr>
              <w:spacing w:after="0"/>
            </w:pPr>
            <w:r>
              <w:rPr>
                <w:rFonts w:ascii="Calibri" w:cs="Calibri" w:eastAsia="Calibri" w:hAnsi="Calibri"/>
                <w:color w:val="222222"/>
                <w:sz w:val="16"/>
                <w:szCs w:val="16"/>
              </w:rPr>
              <w:t xml:space="preserve">Queueing analysis of hospital systems</w:t>
            </w:r>
          </w:p>
        </w:tc>
        <w:tc>
          <w:tcPr>
            <w:tcW w:type="dxa" w:w="1220"/>
          </w:tcPr>
          <w:p>
            <w:pPr>
              <w:spacing w:after="0"/>
            </w:pPr>
            <w:r>
              <w:rPr>
                <w:rFonts w:ascii="Calibri" w:cs="Calibri" w:eastAsia="Calibri" w:hAnsi="Calibri"/>
                <w:color w:val="222222"/>
                <w:sz w:val="16"/>
                <w:szCs w:val="16"/>
              </w:rPr>
              <w:t xml:space="preserve">Patient delay</w:t>
            </w:r>
          </w:p>
        </w:tc>
        <w:tc>
          <w:tcPr>
            <w:tcW w:type="dxa" w:w="2800"/>
          </w:tcPr>
          <w:p>
            <w:pPr>
              <w:spacing w:after="0"/>
            </w:pPr>
            <w:r>
              <w:rPr>
                <w:rFonts w:ascii="Calibri" w:cs="Calibri" w:eastAsia="Calibri" w:hAnsi="Calibri"/>
                <w:color w:val="222222"/>
                <w:sz w:val="16"/>
                <w:szCs w:val="16"/>
              </w:rPr>
              <w:t xml:space="preserve">Delay rises non-linearly as parallel servers are removed; the last beds removed do disproportionate damage.</w:t>
            </w:r>
          </w:p>
        </w:tc>
      </w:tr>
      <w:tr>
        <w:tc>
          <w:tcPr>
            <w:tcW w:type="dxa" w:w="1900"/>
          </w:tcPr>
          <w:p>
            <w:pPr>
              <w:spacing w:after="0"/>
            </w:pPr>
            <w:r>
              <w:rPr>
                <w:rFonts w:ascii="Calibri" w:cs="Calibri" w:eastAsia="Calibri" w:hAnsi="Calibri"/>
                <w:color w:val="222222"/>
                <w:sz w:val="16"/>
                <w:szCs w:val="16"/>
              </w:rPr>
              <w:t xml:space="preserve">Sustained overload is associated with slower service and worse outcomes</w:t>
            </w:r>
          </w:p>
        </w:tc>
        <w:tc>
          <w:tcPr>
            <w:tcW w:type="dxa" w:w="1290"/>
          </w:tcPr>
          <w:p>
            <w:pPr>
              <w:spacing w:after="0"/>
            </w:pPr>
            <w:r>
              <w:rPr>
                <w:rFonts w:ascii="Calibri" w:cs="Calibri" w:eastAsia="Calibri" w:hAnsi="Calibri"/>
                <w:color w:val="222222"/>
                <w:sz w:val="16"/>
                <w:szCs w:val="16"/>
              </w:rPr>
              <w:t xml:space="preserve">Kc &amp; Terwiesch, Manage Sci 2009</w:t>
            </w:r>
          </w:p>
        </w:tc>
        <w:tc>
          <w:tcPr>
            <w:tcW w:type="dxa" w:w="2150"/>
          </w:tcPr>
          <w:p>
            <w:pPr>
              <w:spacing w:after="0"/>
            </w:pPr>
            <w:r>
              <w:rPr>
                <w:rFonts w:ascii="Calibri" w:cs="Calibri" w:eastAsia="Calibri" w:hAnsi="Calibri"/>
                <w:color w:val="222222"/>
                <w:sz w:val="16"/>
                <w:szCs w:val="16"/>
              </w:rPr>
              <w:t xml:space="preserve">Econometric analysis of hospital operations</w:t>
            </w:r>
          </w:p>
        </w:tc>
        <w:tc>
          <w:tcPr>
            <w:tcW w:type="dxa" w:w="1220"/>
          </w:tcPr>
          <w:p>
            <w:pPr>
              <w:spacing w:after="0"/>
            </w:pPr>
            <w:r>
              <w:rPr>
                <w:rFonts w:ascii="Calibri" w:cs="Calibri" w:eastAsia="Calibri" w:hAnsi="Calibri"/>
                <w:color w:val="222222"/>
                <w:sz w:val="16"/>
                <w:szCs w:val="16"/>
              </w:rPr>
              <w:t xml:space="preserve">Service time, patient safety</w:t>
            </w:r>
          </w:p>
        </w:tc>
        <w:tc>
          <w:tcPr>
            <w:tcW w:type="dxa" w:w="2800"/>
          </w:tcPr>
          <w:p>
            <w:pPr>
              <w:spacing w:after="0"/>
            </w:pPr>
            <w:r>
              <w:rPr>
                <w:rFonts w:ascii="Calibri" w:cs="Calibri" w:eastAsia="Calibri" w:hAnsi="Calibri"/>
                <w:color w:val="222222"/>
                <w:sz w:val="16"/>
                <w:szCs w:val="16"/>
              </w:rPr>
              <w:t xml:space="preserve">Service rates slow and outcomes worsen as overload persists.</w:t>
            </w:r>
          </w:p>
        </w:tc>
      </w:tr>
      <w:tr>
        <w:tc>
          <w:tcPr>
            <w:tcW w:type="dxa" w:w="1900"/>
          </w:tcPr>
          <w:p>
            <w:pPr>
              <w:spacing w:after="0"/>
            </w:pPr>
            <w:r>
              <w:rPr>
                <w:rFonts w:ascii="Calibri" w:cs="Calibri" w:eastAsia="Calibri" w:hAnsi="Calibri"/>
                <w:color w:val="222222"/>
                <w:sz w:val="16"/>
                <w:szCs w:val="16"/>
              </w:rPr>
              <w:t xml:space="preserve">Engineered checklist routine followed by elimination of CLABSI</w:t>
            </w:r>
          </w:p>
        </w:tc>
        <w:tc>
          <w:tcPr>
            <w:tcW w:type="dxa" w:w="1290"/>
          </w:tcPr>
          <w:p>
            <w:pPr>
              <w:spacing w:after="0"/>
            </w:pPr>
            <w:r>
              <w:rPr>
                <w:rFonts w:ascii="Calibri" w:cs="Calibri" w:eastAsia="Calibri" w:hAnsi="Calibri"/>
                <w:color w:val="222222"/>
                <w:sz w:val="16"/>
                <w:szCs w:val="16"/>
              </w:rPr>
              <w:t xml:space="preserve">Pronovost, NEJM 2006</w:t>
            </w:r>
          </w:p>
        </w:tc>
        <w:tc>
          <w:tcPr>
            <w:tcW w:type="dxa" w:w="2150"/>
          </w:tcPr>
          <w:p>
            <w:pPr>
              <w:spacing w:after="0"/>
            </w:pPr>
            <w:r>
              <w:rPr>
                <w:rFonts w:ascii="Calibri" w:cs="Calibri" w:eastAsia="Calibri" w:hAnsi="Calibri"/>
                <w:color w:val="222222"/>
                <w:sz w:val="16"/>
                <w:szCs w:val="16"/>
              </w:rPr>
              <w:t xml:space="preserve">103 Michigan ICUs</w:t>
            </w:r>
          </w:p>
        </w:tc>
        <w:tc>
          <w:tcPr>
            <w:tcW w:type="dxa" w:w="1220"/>
          </w:tcPr>
          <w:p>
            <w:pPr>
              <w:spacing w:after="0"/>
            </w:pPr>
            <w:r>
              <w:rPr>
                <w:rFonts w:ascii="Calibri" w:cs="Calibri" w:eastAsia="Calibri" w:hAnsi="Calibri"/>
                <w:color w:val="222222"/>
                <w:sz w:val="16"/>
                <w:szCs w:val="16"/>
              </w:rPr>
              <w:t xml:space="preserve">CLABSI per 1,000 catheter-days</w:t>
            </w:r>
          </w:p>
        </w:tc>
        <w:tc>
          <w:tcPr>
            <w:tcW w:type="dxa" w:w="2800"/>
          </w:tcPr>
          <w:p>
            <w:pPr>
              <w:spacing w:after="0"/>
            </w:pPr>
            <w:r>
              <w:rPr>
                <w:rFonts w:ascii="Calibri" w:cs="Calibri" w:eastAsia="Calibri" w:hAnsi="Calibri"/>
                <w:color w:val="222222"/>
                <w:sz w:val="16"/>
                <w:szCs w:val="16"/>
              </w:rPr>
              <w:t xml:space="preserve">Median rate fell to 0 per 1,000 catheter-days, sustained 18 months.</w:t>
            </w:r>
          </w:p>
        </w:tc>
      </w:tr>
      <w:tr>
        <w:tc>
          <w:tcPr>
            <w:tcW w:type="dxa" w:w="1900"/>
          </w:tcPr>
          <w:p>
            <w:pPr>
              <w:spacing w:after="0"/>
            </w:pPr>
            <w:r>
              <w:rPr>
                <w:rFonts w:ascii="Calibri" w:cs="Calibri" w:eastAsia="Calibri" w:hAnsi="Calibri"/>
                <w:color w:val="222222"/>
                <w:sz w:val="16"/>
                <w:szCs w:val="16"/>
              </w:rPr>
              <w:t xml:space="preserve">Structured handoffs associated with fewer medical errors</w:t>
            </w:r>
          </w:p>
        </w:tc>
        <w:tc>
          <w:tcPr>
            <w:tcW w:type="dxa" w:w="1290"/>
          </w:tcPr>
          <w:p>
            <w:pPr>
              <w:spacing w:after="0"/>
            </w:pPr>
            <w:r>
              <w:rPr>
                <w:rFonts w:ascii="Calibri" w:cs="Calibri" w:eastAsia="Calibri" w:hAnsi="Calibri"/>
                <w:color w:val="222222"/>
                <w:sz w:val="16"/>
                <w:szCs w:val="16"/>
              </w:rPr>
              <w:t xml:space="preserve">Starmer, NEJM 2014</w:t>
            </w:r>
          </w:p>
        </w:tc>
        <w:tc>
          <w:tcPr>
            <w:tcW w:type="dxa" w:w="2150"/>
          </w:tcPr>
          <w:p>
            <w:pPr>
              <w:spacing w:after="0"/>
            </w:pPr>
            <w:r>
              <w:rPr>
                <w:rFonts w:ascii="Calibri" w:cs="Calibri" w:eastAsia="Calibri" w:hAnsi="Calibri"/>
                <w:color w:val="222222"/>
                <w:sz w:val="16"/>
                <w:szCs w:val="16"/>
              </w:rPr>
              <w:t xml:space="preserve">9 pediatric residency programs</w:t>
            </w:r>
          </w:p>
        </w:tc>
        <w:tc>
          <w:tcPr>
            <w:tcW w:type="dxa" w:w="1220"/>
          </w:tcPr>
          <w:p>
            <w:pPr>
              <w:spacing w:after="0"/>
            </w:pPr>
            <w:r>
              <w:rPr>
                <w:rFonts w:ascii="Calibri" w:cs="Calibri" w:eastAsia="Calibri" w:hAnsi="Calibri"/>
                <w:color w:val="222222"/>
                <w:sz w:val="16"/>
                <w:szCs w:val="16"/>
              </w:rPr>
              <w:t xml:space="preserve">Medical-error rate</w:t>
            </w:r>
          </w:p>
        </w:tc>
        <w:tc>
          <w:tcPr>
            <w:tcW w:type="dxa" w:w="2800"/>
          </w:tcPr>
          <w:p>
            <w:pPr>
              <w:spacing w:after="0"/>
            </w:pPr>
            <w:r>
              <w:rPr>
                <w:rFonts w:ascii="Calibri" w:cs="Calibri" w:eastAsia="Calibri" w:hAnsi="Calibri"/>
                <w:color w:val="222222"/>
                <w:sz w:val="16"/>
                <w:szCs w:val="16"/>
              </w:rPr>
              <w:t xml:space="preserve">Medical-error rate fell 23% after I-PASS.</w:t>
            </w:r>
          </w:p>
        </w:tc>
      </w:tr>
    </w:tbl>
    <w:p>
      <w:pPr>
        <w:spacing w:after="0" w:line="40" w:lineRule="exact"/>
      </w:pPr>
    </w:p>
    <w:p>
      <w:r>
        <w:rPr>
          <w:i/>
        </w:rPr>
        <w:t>Author: Shane Welter — doctoral researcher in behavioral operations, Virginia Tech; author of The 12 Laws of Healthcare Operations.</w:t>
      </w:r>
    </w:p>
    <w:sectPr>
      <w:footerReference w:type="default" r:id="rId7"/>
      <w:pgSz w:w="12240" w:h="15840" w:orient="portrait"/>
      <w:pgMar w:top="1080" w:right="1260" w:bottom="1180" w:left="126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FD8" w:sz="4" w:space="4"/>
      </w:pBdr>
      <w:spacing w:after="40"/>
      <w:jc w:val="center"/>
    </w:pPr>
    <w:r>
      <w:rPr>
        <w:rFonts w:ascii="Calibri" w:cs="Calibri" w:eastAsia="Calibri" w:hAnsi="Calibri"/>
        <w:color w:val="595959"/>
        <w:sz w:val="14"/>
        <w:szCs w:val="14"/>
      </w:rPr>
      <w:t xml:space="preserve">The Flow Architect Toolkit · The 12 Laws of Healthcare Operations · © 2026 Shane Welter · shanewelter.com · Free companion tool — share within your organization; not for resale.</w:t>
    </w:r>
  </w:p>
  <w:p>
    <w:pPr>
      <w:spacing w:after="0"/>
      <w:jc w:val="center"/>
    </w:pPr>
    <w:r>
      <w:rPr>
        <w:rFonts w:ascii="Calibri" w:cs="Calibri" w:eastAsia="Calibri" w:hAnsi="Calibri"/>
        <w:color w:val="595959"/>
        <w:sz w:val="14"/>
        <w:szCs w:val="14"/>
      </w:rPr>
      <w:t xml:space="preserve">Page </w:t>
    </w:r>
    <w:r>
      <w:rPr>
        <w:rFonts w:ascii="Calibri" w:cs="Calibri" w:eastAsia="Calibri" w:hAnsi="Calibri"/>
        <w:color w:val="595959"/>
        <w:sz w:val="14"/>
        <w:szCs w:val="14"/>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00" w:hanging="260"/>
      </w:pPr>
    </w:lvl>
    <w:lvl w:ilvl="1" w15:tentative="1">
      <w:start w:val="1"/>
      <w:numFmt w:val="bullet"/>
      <w:lvlText w:val="–"/>
      <w:lvlJc w:val="left"/>
      <w:pPr>
        <w:ind w:left="1000" w:hanging="260"/>
      </w:pPr>
    </w:lvl>
  </w:abstractNum>
  <w:abstractNum w:abstractNumId="3" w15:restartNumberingAfterBreak="0">
    <w:multiLevelType w:val="hybridMultilevel"/>
    <w:lvl w:ilvl="0" w15:tentative="1">
      <w:start w:val="1"/>
      <w:numFmt w:val="decimal"/>
      <w:lvlText w:val="%1."/>
      <w:lvlJc w:val="left"/>
      <w:pPr>
        <w:ind w:left="500" w:hanging="380"/>
      </w:pPr>
    </w:lvl>
  </w:abstractNum>
  <w:abstractNum w:abstractNumId="4" w15:restartNumberingAfterBreak="0">
    <w:multiLevelType w:val="hybridMultilevel"/>
    <w:lvl w:ilvl="0" w15:tentative="1">
      <w:start w:val="1"/>
      <w:numFmt w:val="decimal"/>
      <w:lvlText w:val="%1."/>
      <w:lvlJc w:val="left"/>
      <w:pPr>
        <w:ind w:left="500" w:hanging="380"/>
      </w:pPr>
    </w:lvl>
  </w:abstractNum>
  <w:num w:numId="1">
    <w:abstractNumId w:val="1"/>
    <w:lvlOverride w:ilvl="0">
      <w:startOverride w:val="1"/>
    </w:lvlOverride>
  </w:num>
  <w:num w:numId="2">
    <w:abstractNumId w:val="3"/>
    <w:lvlOverride w:ilvl="0">
      <w:startOverride w:val="1"/>
    </w:lvlOverride>
  </w:num>
  <w:num w:numId="3">
    <w:abstractNumId w:val="4"/>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222222"/>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40" w:before="300"/>
      <w:outlineLvl w:val="0"/>
    </w:pPr>
    <w:rPr>
      <w:rFonts w:ascii="Calibri" w:cs="Calibri" w:eastAsia="Calibri" w:hAnsi="Calibri"/>
      <w:b/>
      <w:bCs/>
      <w:color w:val="1F3A5F"/>
      <w:sz w:val="30"/>
      <w:szCs w:val="30"/>
    </w:rPr>
  </w:style>
  <w:style w:type="paragraph" w:styleId="Heading2">
    <w:name w:val="Heading 2"/>
    <w:basedOn w:val="Normal"/>
    <w:next w:val="Normal"/>
    <w:qFormat/>
    <w:pPr>
      <w:spacing w:after="100" w:before="220"/>
      <w:outlineLvl w:val="1"/>
    </w:pPr>
    <w:rPr>
      <w:rFonts w:ascii="Calibri" w:cs="Calibri" w:eastAsia="Calibri" w:hAnsi="Calibri"/>
      <w:b/>
      <w:bCs/>
      <w:color w:val="2C7A7B"/>
      <w:sz w:val="24"/>
      <w:szCs w:val="24"/>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Shane Welter</dc:creator>
  <cp:lastModifiedBy>Un-named</cp:lastModifiedBy>
  <cp:revision>1</cp:revision>
  <dcterms:created xsi:type="dcterms:W3CDTF">2026-07-04T12:42:30.619Z</dcterms:created>
  <dcterms:modified xsi:type="dcterms:W3CDTF">2026-07-04T12:42:30.619Z</dcterms:modified>
</cp:coreProperties>
</file>

<file path=docProps/custom.xml><?xml version="1.0" encoding="utf-8"?>
<Properties xmlns="http://schemas.openxmlformats.org/officeDocument/2006/custom-properties" xmlns:vt="http://schemas.openxmlformats.org/officeDocument/2006/docPropsVTypes"/>
</file>