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C7A7B"/>
          <w:spacing w:val="20"/>
          <w:sz w:val="18"/>
          <w:szCs w:val="18"/>
        </w:rPr>
        <w:t xml:space="preserve">THE FLOW ARCHITECT TOOLKIT · CLASSROOM &amp; POLICY KIT · TEACHING CASE</w:t>
      </w:r>
    </w:p>
    <w:p>
      <w:pPr>
        <w:spacing w:after="80"/>
      </w:pPr>
      <w:r>
        <w:rPr>
          <w:rFonts w:ascii="Calibri" w:cs="Calibri" w:eastAsia="Calibri" w:hAnsi="Calibri"/>
          <w:b/>
          <w:bCs/>
          <w:color w:val="1F3A5F"/>
          <w:sz w:val="52"/>
          <w:szCs w:val="52"/>
        </w:rPr>
        <w:t xml:space="preserve">The Outpatient Bottleneck</w:t>
      </w:r>
    </w:p>
    <w:p>
      <w:pPr>
        <w:pBdr>
          <w:bottom w:val="single" w:color="2C7A7B" w:sz="12" w:space="6"/>
        </w:pBdr>
        <w:spacing w:after="200"/>
      </w:pPr>
      <w:r>
        <w:rPr>
          <w:rFonts w:ascii="Calibri" w:cs="Calibri" w:eastAsia="Calibri" w:hAnsi="Calibri"/>
          <w:i/>
          <w:iCs/>
          <w:color w:val="1F3A5F"/>
          <w:sz w:val="22"/>
          <w:szCs w:val="22"/>
        </w:rPr>
        <w:t xml:space="preserve">A teaching case in clinic capacity, access failure, and system design · The 12 Laws of Healthcare Operations · Shane Welter</w:t>
      </w:r>
    </w:p>
    <w:tbl>
      <w:tblPr>
        <w:tblW w:type="dxa" w:w="9360"/>
        <w:tblBorders>
          <w:top w:val="single" w:color="2C7A7B" w:sz="8"/>
          <w:left w:val="nil"/>
          <w:bottom w:val="single" w:color="2C7A7B" w:sz="8"/>
          <w:right w:val="nil"/>
          <w:insideH w:val="single" w:color="C9CFD8" w:sz="2"/>
          <w:insideV w:val="nil"/>
        </w:tblBorders>
      </w:tblPr>
      <w:tblGrid>
        <w:gridCol w:w="2100"/>
        <w:gridCol w:w="7260"/>
      </w:tblGrid>
      <w:tr>
        <w:tc>
          <w:tcPr>
            <w:tcW w:type="dxa" w:w="9360"/>
            <w:gridSpan w:val="2"/>
            <w:tcMar>
              <w:top w:type="dxa" w:w="50"/>
              <w:left w:type="dxa" w:w="20"/>
              <w:bottom w:type="dxa" w:w="40"/>
              <w:right w:type="dxa" w:w="110"/>
            </w:tcMar>
          </w:tcPr>
          <w:p>
            <w:pPr>
              <w:spacing w:after="0"/>
            </w:pPr>
            <w:r>
              <w:rPr>
                <w:rFonts w:ascii="Calibri" w:cs="Calibri" w:eastAsia="Calibri" w:hAnsi="Calibri"/>
                <w:b/>
                <w:bCs/>
                <w:color w:val="2C7A7B"/>
                <w:spacing w:val="20"/>
                <w:sz w:val="18"/>
                <w:szCs w:val="18"/>
              </w:rPr>
              <w:t xml:space="preserve">AT A GLANCE</w:t>
            </w:r>
          </w:p>
        </w:tc>
      </w:tr>
      <w:tr>
        <w:tc>
          <w:tcPr>
            <w:tcW w:type="dxa" w:w="2100"/>
            <w:tcMar>
              <w:top w:type="dxa" w:w="40"/>
              <w:left w:type="dxa" w:w="20"/>
              <w:bottom w:type="dxa" w:w="40"/>
              <w:right w:type="dxa" w:w="110"/>
            </w:tcMar>
          </w:tcPr>
          <w:p>
            <w:pPr>
              <w:spacing w:after="0"/>
            </w:pPr>
            <w:r>
              <w:rPr>
                <w:rFonts w:ascii="Calibri" w:cs="Calibri" w:eastAsia="Calibri" w:hAnsi="Calibri"/>
                <w:b/>
                <w:bCs/>
                <w:color w:val="1F3A5F"/>
                <w:sz w:val="18"/>
                <w:szCs w:val="18"/>
              </w:rPr>
              <w:t xml:space="preserve">Audience</w:t>
            </w:r>
          </w:p>
        </w:tc>
        <w:tc>
          <w:tcPr>
            <w:tcW w:type="dxa" w:w="7260"/>
            <w:tcMar>
              <w:top w:type="dxa" w:w="40"/>
              <w:left w:type="dxa" w:w="20"/>
              <w:bottom w:type="dxa" w:w="40"/>
              <w:right w:type="dxa" w:w="110"/>
            </w:tcMar>
          </w:tcPr>
          <w:p>
            <w:pPr>
              <w:spacing w:after="0"/>
            </w:pPr>
            <w:r>
              <w:rPr>
                <w:rFonts w:ascii="Calibri" w:cs="Calibri" w:eastAsia="Calibri" w:hAnsi="Calibri"/>
                <w:color w:val="222222"/>
                <w:sz w:val="18"/>
                <w:szCs w:val="18"/>
              </w:rPr>
              <w:t xml:space="preserve">Graduate students (MHA, MS-HA, MBA health concentration, DNP systems leadership); residency didactics and internal leadership-development programs</w:t>
            </w:r>
          </w:p>
        </w:tc>
      </w:tr>
      <w:tr>
        <w:tc>
          <w:tcPr>
            <w:tcW w:type="dxa" w:w="2100"/>
            <w:tcMar>
              <w:top w:type="dxa" w:w="40"/>
              <w:left w:type="dxa" w:w="20"/>
              <w:bottom w:type="dxa" w:w="40"/>
              <w:right w:type="dxa" w:w="110"/>
            </w:tcMar>
          </w:tcPr>
          <w:p>
            <w:pPr>
              <w:spacing w:after="0"/>
            </w:pPr>
            <w:r>
              <w:rPr>
                <w:rFonts w:ascii="Calibri" w:cs="Calibri" w:eastAsia="Calibri" w:hAnsi="Calibri"/>
                <w:b/>
                <w:bCs/>
                <w:color w:val="1F3A5F"/>
                <w:sz w:val="18"/>
                <w:szCs w:val="18"/>
              </w:rPr>
              <w:t xml:space="preserve">Time to run</w:t>
            </w:r>
          </w:p>
        </w:tc>
        <w:tc>
          <w:tcPr>
            <w:tcW w:type="dxa" w:w="7260"/>
            <w:tcMar>
              <w:top w:type="dxa" w:w="40"/>
              <w:left w:type="dxa" w:w="20"/>
              <w:bottom w:type="dxa" w:w="40"/>
              <w:right w:type="dxa" w:w="110"/>
            </w:tcMar>
          </w:tcPr>
          <w:p>
            <w:pPr>
              <w:spacing w:after="0"/>
            </w:pPr>
            <w:r>
              <w:rPr>
                <w:rFonts w:ascii="Calibri" w:cs="Calibri" w:eastAsia="Calibri" w:hAnsi="Calibri"/>
                <w:color w:val="222222"/>
                <w:sz w:val="18"/>
                <w:szCs w:val="18"/>
              </w:rPr>
              <w:t xml:space="preserve">One 75–90 minute class session; extendable to a half-day (3-hour) workshop</w:t>
            </w:r>
          </w:p>
        </w:tc>
      </w:tr>
      <w:tr>
        <w:tc>
          <w:tcPr>
            <w:tcW w:type="dxa" w:w="2100"/>
            <w:tcMar>
              <w:top w:type="dxa" w:w="40"/>
              <w:left w:type="dxa" w:w="20"/>
              <w:bottom w:type="dxa" w:w="40"/>
              <w:right w:type="dxa" w:w="110"/>
            </w:tcMar>
          </w:tcPr>
          <w:p>
            <w:pPr>
              <w:spacing w:after="0"/>
            </w:pPr>
            <w:r>
              <w:rPr>
                <w:rFonts w:ascii="Calibri" w:cs="Calibri" w:eastAsia="Calibri" w:hAnsi="Calibri"/>
                <w:b/>
                <w:bCs/>
                <w:color w:val="1F3A5F"/>
                <w:sz w:val="18"/>
                <w:szCs w:val="18"/>
              </w:rPr>
              <w:t xml:space="preserve">Materials</w:t>
            </w:r>
          </w:p>
        </w:tc>
        <w:tc>
          <w:tcPr>
            <w:tcW w:type="dxa" w:w="7260"/>
            <w:tcMar>
              <w:top w:type="dxa" w:w="40"/>
              <w:left w:type="dxa" w:w="20"/>
              <w:bottom w:type="dxa" w:w="40"/>
              <w:right w:type="dxa" w:w="110"/>
            </w:tcMar>
          </w:tcPr>
          <w:p>
            <w:pPr>
              <w:spacing w:after="0"/>
            </w:pPr>
            <w:r>
              <w:rPr>
                <w:rFonts w:ascii="Calibri" w:cs="Calibri" w:eastAsia="Calibri" w:hAnsi="Calibri"/>
                <w:color w:val="222222"/>
                <w:sz w:val="18"/>
                <w:szCs w:val="18"/>
              </w:rPr>
              <w:t xml:space="preserve">This case and its exhibits (Exhibits 1–5b); the arithmetic requires nothing beyond percentages</w:t>
            </w:r>
          </w:p>
        </w:tc>
      </w:tr>
      <w:tr>
        <w:tc>
          <w:tcPr>
            <w:tcW w:type="dxa" w:w="2100"/>
            <w:tcMar>
              <w:top w:type="dxa" w:w="40"/>
              <w:left w:type="dxa" w:w="20"/>
              <w:bottom w:type="dxa" w:w="40"/>
              <w:right w:type="dxa" w:w="110"/>
            </w:tcMar>
          </w:tcPr>
          <w:p>
            <w:pPr>
              <w:spacing w:after="0"/>
            </w:pPr>
            <w:r>
              <w:rPr>
                <w:rFonts w:ascii="Calibri" w:cs="Calibri" w:eastAsia="Calibri" w:hAnsi="Calibri"/>
                <w:b/>
                <w:bCs/>
                <w:color w:val="1F3A5F"/>
                <w:sz w:val="18"/>
                <w:szCs w:val="18"/>
              </w:rPr>
              <w:t xml:space="preserve">What you’ll produce</w:t>
            </w:r>
          </w:p>
        </w:tc>
        <w:tc>
          <w:tcPr>
            <w:tcW w:type="dxa" w:w="7260"/>
            <w:tcMar>
              <w:top w:type="dxa" w:w="40"/>
              <w:left w:type="dxa" w:w="20"/>
              <w:bottom w:type="dxa" w:w="40"/>
              <w:right w:type="dxa" w:w="110"/>
            </w:tcMar>
          </w:tcPr>
          <w:p>
            <w:pPr>
              <w:spacing w:after="0"/>
            </w:pPr>
            <w:r>
              <w:rPr>
                <w:rFonts w:ascii="Calibri" w:cs="Calibri" w:eastAsia="Calibri" w:hAnsi="Calibri"/>
                <w:color w:val="222222"/>
                <w:sz w:val="18"/>
                <w:szCs w:val="18"/>
              </w:rPr>
              <w:t xml:space="preserve">A diagnosis of the access bottleneck and a redesign proposal for Monday’s operating committee</w:t>
            </w:r>
          </w:p>
        </w:tc>
      </w:tr>
      <w:tr>
        <w:tc>
          <w:tcPr>
            <w:tcW w:type="dxa" w:w="2100"/>
            <w:tcMar>
              <w:top w:type="dxa" w:w="40"/>
              <w:left w:type="dxa" w:w="20"/>
              <w:bottom w:type="dxa" w:w="40"/>
              <w:right w:type="dxa" w:w="110"/>
            </w:tcMar>
          </w:tcPr>
          <w:p>
            <w:pPr>
              <w:spacing w:after="0"/>
            </w:pPr>
            <w:r>
              <w:rPr>
                <w:rFonts w:ascii="Calibri" w:cs="Calibri" w:eastAsia="Calibri" w:hAnsi="Calibri"/>
                <w:b/>
                <w:bCs/>
                <w:color w:val="1F3A5F"/>
                <w:sz w:val="18"/>
                <w:szCs w:val="18"/>
              </w:rPr>
              <w:t xml:space="preserve">Prep</w:t>
            </w:r>
          </w:p>
        </w:tc>
        <w:tc>
          <w:tcPr>
            <w:tcW w:type="dxa" w:w="7260"/>
            <w:tcMar>
              <w:top w:type="dxa" w:w="40"/>
              <w:left w:type="dxa" w:w="20"/>
              <w:bottom w:type="dxa" w:w="40"/>
              <w:right w:type="dxa" w:w="110"/>
            </w:tcMar>
          </w:tcPr>
          <w:p>
            <w:pPr>
              <w:spacing w:after="0"/>
            </w:pPr>
            <w:r>
              <w:rPr>
                <w:rFonts w:ascii="Calibri" w:cs="Calibri" w:eastAsia="Calibri" w:hAnsi="Calibri"/>
                <w:color w:val="222222"/>
                <w:sz w:val="18"/>
                <w:szCs w:val="18"/>
              </w:rPr>
              <w:t xml:space="preserve">Students read the full case and work the exhibits before class; assignment questions appear at the end</w:t>
            </w:r>
          </w:p>
        </w:tc>
      </w:tr>
      <w:tr>
        <w:tc>
          <w:tcPr>
            <w:tcW w:type="dxa" w:w="9360"/>
            <w:gridSpan w:val="2"/>
            <w:tcMar>
              <w:top w:type="dxa" w:w="40"/>
              <w:left w:type="dxa" w:w="20"/>
              <w:bottom w:type="dxa" w:w="50"/>
              <w:right w:type="dxa" w:w="110"/>
            </w:tcMar>
          </w:tcPr>
          <w:p>
            <w:pPr>
              <w:spacing w:after="0"/>
            </w:pPr>
            <w:r>
              <w:rPr>
                <w:rFonts w:ascii="Calibri" w:cs="Calibri" w:eastAsia="Calibri" w:hAnsi="Calibri"/>
                <w:color w:val="595959"/>
                <w:sz w:val="16"/>
                <w:szCs w:val="16"/>
              </w:rPr>
              <w:t xml:space="preserve">Version 1.1 · July 2026 · shanewelter.com/toolkit</w:t>
            </w:r>
          </w:p>
        </w:tc>
      </w:tr>
    </w:tbl>
    <w:p>
      <w:pPr>
        <w:spacing w:after="60"/>
        <w:rPr>
          <w:sz w:val="12"/>
          <w:szCs w:val="12"/>
        </w:rPr>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FD8" w:sz="1"/>
              <w:left w:val="single" w:color="2C7A7B" w:sz="18"/>
              <w:bottom w:val="single" w:color="C9CFD8" w:sz="1"/>
              <w:right w:val="single" w:color="C9CFD8" w:sz="1"/>
            </w:tcBorders>
            <w:shd w:fill="E7F1F1" w:val="clear"/>
            <w:tcMar>
              <w:top w:type="dxa" w:w="140"/>
              <w:left w:type="dxa" w:w="200"/>
              <w:bottom w:type="dxa" w:w="140"/>
              <w:right w:type="dxa" w:w="200"/>
            </w:tcMar>
          </w:tcPr>
          <w:p>
            <w:pPr>
              <w:spacing w:after="0" w:line="276"/>
            </w:pPr>
            <w:r>
              <w:rPr>
                <w:rFonts w:ascii="Calibri" w:cs="Calibri" w:eastAsia="Calibri" w:hAnsi="Calibri"/>
                <w:b/>
                <w:bCs/>
                <w:color w:val="222222"/>
                <w:sz w:val="22"/>
                <w:szCs w:val="22"/>
              </w:rPr>
              <w:t xml:space="preserve">About this case. </w:t>
            </w:r>
            <w:r>
              <w:rPr>
                <w:rFonts w:ascii="Calibri" w:cs="Calibri" w:eastAsia="Calibri" w:hAnsi="Calibri"/>
                <w:color w:val="222222"/>
                <w:sz w:val="22"/>
                <w:szCs w:val="22"/>
              </w:rPr>
              <w:t xml:space="preserve">Riverview Medical Center and every person, clinic, and number in this case are a fictional teaching composite. No character depicts a real individual, and no exhibit reports data from a real institution. All data exhibits are illustrative — constructed for teaching; not from a real institution. The case is written for graduate courses (MHA, MS-HA, MBA health concentration, DNP systems leadership) and for internal leadership-development programs. It pairs with Laws 1, 2, 9, 10, 11, and 12 of </w:t>
            </w:r>
            <w:r>
              <w:rPr>
                <w:rFonts w:ascii="Calibri" w:cs="Calibri" w:eastAsia="Calibri" w:hAnsi="Calibri"/>
                <w:i/>
                <w:iCs/>
                <w:color w:val="222222"/>
                <w:sz w:val="22"/>
                <w:szCs w:val="22"/>
              </w:rPr>
              <w:t xml:space="preserve">The 12 Laws of Healthcare Operations</w:t>
            </w:r>
            <w:r>
              <w:rPr>
                <w:rFonts w:ascii="Calibri" w:cs="Calibri" w:eastAsia="Calibri" w:hAnsi="Calibri"/>
                <w:color w:val="222222"/>
                <w:sz w:val="22"/>
                <w:szCs w:val="22"/>
              </w:rPr>
              <w:t xml:space="preserve">. The case ends at a decision point and is deliberately unresolved; a separate Teaching Note is available to instructors.</w:t>
            </w:r>
          </w:p>
        </w:tc>
      </w:tr>
    </w:tbl>
    <w:p>
      <w:pPr>
        <w:spacing w:after="160" w:line="276"/>
      </w:pPr>
      <w:r>
        <w:rPr>
          <w:rFonts w:ascii="Calibri" w:cs="Calibri" w:eastAsia="Calibri" w:hAnsi="Calibri"/>
          <w:color w:val="222222"/>
          <w:sz w:val="22"/>
          <w:szCs w:val="22"/>
        </w:rPr>
        <w:t xml:space="preserve"/>
      </w:r>
    </w:p>
    <w:p>
      <w:pPr>
        <w:pStyle w:val="Heading1"/>
        <w:spacing w:after="140" w:before="300"/>
      </w:pPr>
      <w:r>
        <w:rPr>
          <w:rFonts w:ascii="Calibri" w:cs="Calibri" w:eastAsia="Calibri" w:hAnsi="Calibri"/>
          <w:b/>
          <w:bCs/>
          <w:color w:val="1F3A5F"/>
          <w:sz w:val="30"/>
          <w:szCs w:val="30"/>
        </w:rPr>
        <w:t xml:space="preserve">How to Use This Case</w:t>
      </w:r>
    </w:p>
    <w:p>
      <w:pPr>
        <w:spacing w:after="160" w:line="276"/>
      </w:pPr>
      <w:r>
        <w:rPr>
          <w:rFonts w:ascii="Calibri" w:cs="Calibri" w:eastAsia="Calibri" w:hAnsi="Calibri"/>
          <w:color w:val="222222"/>
          <w:sz w:val="22"/>
          <w:szCs w:val="22"/>
        </w:rPr>
        <w:t xml:space="preserve">Read the narrative first, then work the exhibits. The case is built so that the narrative and the numbers disagree with the dashboard: every headline metric at Riverview is green, and the system is failing anyway. Your task is not to find a villain. The scheduler follows her script, the physicians work past their contracts, and the chief operating officer reads his reports. Your task is to explain how a system in which everyone performs well produces outcomes no one wants — and then to design, from the exhibits, what the COO should propose on Monday morning.</w:t>
      </w:r>
    </w:p>
    <w:p>
      <w:pPr>
        <w:spacing w:after="160" w:line="276"/>
      </w:pPr>
      <w:r>
        <w:rPr>
          <w:rFonts w:ascii="Calibri" w:cs="Calibri" w:eastAsia="Calibri" w:hAnsi="Calibri"/>
          <w:color w:val="222222"/>
          <w:sz w:val="22"/>
          <w:szCs w:val="22"/>
        </w:rPr>
        <w:t xml:space="preserve">Assignment questions appear at the end. They escalate: diagnosis, quantification, design, and finally the politics of keeping a redesign alive.</w:t>
      </w:r>
    </w:p>
    <w:p>
      <w:pPr>
        <w:pStyle w:val="Heading2"/>
        <w:spacing w:after="100" w:before="220"/>
      </w:pPr>
      <w:r>
        <w:rPr>
          <w:rFonts w:ascii="Calibri" w:cs="Calibri" w:eastAsia="Calibri" w:hAnsi="Calibri"/>
          <w:b/>
          <w:bCs/>
          <w:color w:val="2C7A7B"/>
          <w:sz w:val="24"/>
          <w:szCs w:val="24"/>
        </w:rPr>
        <w:t xml:space="preserve">Cast of characters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60"/>
        <w:gridCol w:w="6600"/>
      </w:tblGrid>
      <w:tr>
        <w:trPr>
          <w:tblHeader/>
        </w:trPr>
        <w:tc>
          <w:tcPr>
            <w:tcW w:type="dxa" w:w="276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Name</w:t>
            </w:r>
          </w:p>
        </w:tc>
        <w:tc>
          <w:tcPr>
            <w:tcW w:type="dxa" w:w="66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Role</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Daniel Reyes</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Chief operating officer, Riverview Medical Center; six years as the system’s inpatient operations leader before the network role</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Dr. Melissa Carter</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Senior internist, Riverview Primary Care — Eastgate; the network’s highest producer and, by every dashboard measure, its strongest physician</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Dr. Priya Natarajan</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Internist, Eastgate; keeps an unsent letter to a hospitalist program in her drafts folder</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Dr. Tom Whitfield</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Internist, Eastgate; preparing a request to reduce to 0.8 FTE</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Dr. Lena Ortiz</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Internist, Eastgate</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Rachel Chen, NP / Sam Douglas, PA</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Advanced-practice providers, Eastgate</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Angela Soto</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Scheduler, Eastgate call center</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Karen Boyle</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Chief financial officer, Riverview Medical Center</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Harold Jenkins</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Patient of Dr. Carter’s for nine years; sixty-one years old</w:t>
            </w:r>
          </w:p>
        </w:tc>
      </w:tr>
    </w:tbl>
    <w:p>
      <w:pPr>
        <w:spacing w:after="160" w:line="276"/>
      </w:pPr>
      <w:r>
        <w:rPr>
          <w:rFonts w:ascii="Calibri" w:cs="Calibri" w:eastAsia="Calibri" w:hAnsi="Calibri"/>
          <w:color w:val="222222"/>
          <w:sz w:val="22"/>
          <w:szCs w:val="22"/>
        </w:rPr>
        <w:t xml:space="preserve"/>
      </w:r>
    </w:p>
    <w:p>
      <w:pPr>
        <w:pStyle w:val="Heading2"/>
        <w:spacing w:after="100" w:before="220"/>
      </w:pPr>
      <w:r>
        <w:rPr>
          <w:rFonts w:ascii="Calibri" w:cs="Calibri" w:eastAsia="Calibri" w:hAnsi="Calibri"/>
          <w:b/>
          <w:bCs/>
          <w:color w:val="2C7A7B"/>
          <w:sz w:val="24"/>
          <w:szCs w:val="24"/>
        </w:rPr>
        <w:t xml:space="preserve">Key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60"/>
        <w:gridCol w:w="6600"/>
      </w:tblGrid>
      <w:tr>
        <w:trPr>
          <w:tblHeader/>
        </w:trPr>
        <w:tc>
          <w:tcPr>
            <w:tcW w:type="dxa" w:w="276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Term</w:t>
            </w:r>
          </w:p>
        </w:tc>
        <w:tc>
          <w:tcPr>
            <w:tcW w:type="dxa" w:w="66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Definition as used in this case</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Schedule fill rate</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Booked slots as a percentage of available slots. Riverview’s board target is 95 percent.</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Third-next-available (TNA)</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Days until the third-next open appointment; the standard measure of real access, less distorted by one-off cancellations than “next available.”</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wRVU</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Work relative value unit; the standard measure of billable physician production. Coordination work (messages, results, refills, forms) generates no wRVUs.</w:t>
            </w:r>
            <w:r>
              <w:t xml:space="preserve"> As a fee-for-service productivity measure, it creates a powerful incentive to maximize billable encounters while assigning zero value to the non-billable coordination work (Law 1) each encounter generates.</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In-basket</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The EHR queue of results, messages, refills, and forms awaiting a clinician’s action.</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Panel size</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Number of patients attributed to a provider for ongoing primary care.</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Double-booking</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Scheduling two patients into one slot, typically to offset expected no-shows.</w:t>
            </w:r>
          </w:p>
        </w:tc>
      </w:tr>
      <w:tr>
        <w:trPr>
          <w:cantSplit/>
        </w:trPr>
        <w:tc>
          <w:tcPr>
            <w:tcW w:type="dxa" w:w="27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No-show rate</w:t>
            </w:r>
          </w:p>
        </w:tc>
        <w:tc>
          <w:tcPr>
            <w:tcW w:type="dxa" w:w="6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Percentage of booked appointments where the patient does not arrive.</w:t>
            </w:r>
          </w:p>
        </w:tc>
      </w:tr>
      <w:tr>
        <w:trPr>
          <w:cantSplit/>
        </w:trPr>
        <w:tc>
          <w:tcPr>
            <w:tcW w:type="dxa" w:w="27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ESI 4–5</w:t>
            </w:r>
          </w:p>
        </w:tc>
        <w:tc>
          <w:tcPr>
            <w:tcW w:type="dxa" w:w="6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Emergency Severity Index levels indicating low-acuity presentations, typically manageable in a primary-care setting.</w:t>
            </w:r>
          </w:p>
        </w:tc>
      </w:tr>
    </w:tbl>
    <w:p>
      <w:pPr>
        <w:pStyle w:val="Heading1"/>
        <w:spacing w:after="140" w:before="300"/>
      </w:pPr>
      <w:r>
        <w:rPr>
          <w:rFonts w:ascii="Calibri" w:cs="Calibri" w:eastAsia="Calibri" w:hAnsi="Calibri"/>
          <w:b/>
          <w:bCs/>
          <w:color w:val="1F3A5F"/>
          <w:sz w:val="30"/>
          <w:szCs w:val="30"/>
        </w:rPr>
        <w:t xml:space="preserve">The Case</w:t>
      </w:r>
    </w:p>
    <w:p>
      <w:pPr>
        <w:pStyle w:val="Heading2"/>
        <w:spacing w:after="100" w:before="220"/>
      </w:pPr>
      <w:r>
        <w:rPr>
          <w:rFonts w:ascii="Calibri" w:cs="Calibri" w:eastAsia="Calibri" w:hAnsi="Calibri"/>
          <w:b/>
          <w:bCs/>
          <w:color w:val="2C7A7B"/>
          <w:sz w:val="24"/>
          <w:szCs w:val="24"/>
        </w:rPr>
        <w:t xml:space="preserve">1. The Green Dashboard</w:t>
      </w:r>
    </w:p>
    <w:p>
      <w:pPr>
        <w:spacing w:after="160" w:line="276"/>
      </w:pPr>
      <w:r>
        <w:rPr>
          <w:rFonts w:ascii="Calibri" w:cs="Calibri" w:eastAsia="Calibri" w:hAnsi="Calibri"/>
          <w:color w:val="222222"/>
          <w:sz w:val="22"/>
          <w:szCs w:val="22"/>
        </w:rPr>
        <w:t xml:space="preserve">Daniel Reyes, chief operating officer of Riverview Medical Center, opened the quarterly ambulatory report on a Thursday afternoon and saw, for the ninth consecutive quarter, a wall of green. Riverview Primary Care — Eastgate, the flagship clinic of the system’s seven-site primary-care network, had posted a 93 percent schedule fill rate, six points above the regional benchmark. Work-RVU production was up 6 percent for the network and up 12 percent for Dr. Melissa Carter, the clinic’s senior internist and, by every measure the dashboard tracked, its strongest physician. Patient volume was up. Revenue per session was up. The consulting firm the board had retained two years earlier had set a fill-rate target of 95 percent — "every empty slot is unrealized revenue" — and Eastgate was closing on it.</w:t>
      </w:r>
    </w:p>
    <w:p>
      <w:pPr>
        <w:spacing w:after="160" w:line="276"/>
      </w:pPr>
      <w:r>
        <w:rPr>
          <w:rFonts w:ascii="Calibri" w:cs="Calibri" w:eastAsia="Calibri" w:hAnsi="Calibri"/>
          <w:color w:val="222222"/>
          <w:sz w:val="22"/>
          <w:szCs w:val="22"/>
        </w:rPr>
        <w:t xml:space="preserve">The board chair had forwarded the report that morning with a one-line note: "This is what right looks like. Can we get the other sites to Carter’s numbers?"</w:t>
      </w:r>
    </w:p>
    <w:p>
      <w:pPr>
        <w:spacing w:after="160" w:line="276"/>
      </w:pPr>
      <w:r>
        <w:rPr>
          <w:rFonts w:ascii="Calibri" w:cs="Calibri" w:eastAsia="Calibri" w:hAnsi="Calibri"/>
          <w:color w:val="222222"/>
          <w:sz w:val="22"/>
          <w:szCs w:val="22"/>
        </w:rPr>
        <w:t xml:space="preserve">Reyes had drafted half a reply before he stopped. Two items had crossed his desk that same week and neither fit the wall of green. The first was a resignation-risk memo from the network medical director: two of Eastgate’s four physicians had asked about reducing their clinical time, and one had quietly interviewed elsewhere. The second was the monthly report from the emergency department medical director, which showed — for the sixth month running — a rise in ED visits by patients who were empaneled to Riverview’s own primary-care clinics. The ED report included a new field the intake team had begun collecting in January: whether the patient had first tried to book an appointment with their own clinic. More than half now said yes.</w:t>
      </w:r>
    </w:p>
    <w:p>
      <w:pPr>
        <w:spacing w:after="160" w:line="276"/>
      </w:pPr>
      <w:r>
        <w:rPr>
          <w:rFonts w:ascii="Calibri" w:cs="Calibri" w:eastAsia="Calibri" w:hAnsi="Calibri"/>
          <w:color w:val="222222"/>
          <w:sz w:val="22"/>
          <w:szCs w:val="22"/>
        </w:rPr>
        <w:t xml:space="preserve">Reyes had come to the network role after six years running Riverview’s inpatient operations, where he had spent every January of his tenure managing boarding crises from the hospital side — hallway beds, diverted ambulances, surgeons calling about cancelled cases. He knew what a hospital looked like when demand had nowhere else to go. What he had never asked, until this week, was where that demand had been before it reached his emergency department.</w:t>
      </w:r>
    </w:p>
    <w:p>
      <w:pPr>
        <w:spacing w:after="160" w:line="276"/>
      </w:pPr>
      <w:r>
        <w:rPr>
          <w:rFonts w:ascii="Calibri" w:cs="Calibri" w:eastAsia="Calibri" w:hAnsi="Calibri"/>
          <w:color w:val="222222"/>
          <w:sz w:val="22"/>
          <w:szCs w:val="22"/>
        </w:rPr>
        <w:t xml:space="preserve">A fully booked clinic, Reyes was beginning to suspect, was not the same thing as a clinic that could see patients.</w:t>
      </w:r>
    </w:p>
    <w:p>
      <w:pPr>
        <w:pStyle w:val="Heading2"/>
        <w:spacing w:after="100" w:before="220"/>
      </w:pPr>
      <w:r>
        <w:rPr>
          <w:rFonts w:ascii="Calibri" w:cs="Calibri" w:eastAsia="Calibri" w:hAnsi="Calibri"/>
          <w:b/>
          <w:bCs/>
          <w:color w:val="2C7A7B"/>
          <w:sz w:val="24"/>
          <w:szCs w:val="24"/>
        </w:rPr>
        <w:t xml:space="preserve">2. Eleven Seconds</w:t>
      </w:r>
    </w:p>
    <w:p>
      <w:pPr>
        <w:spacing w:after="160" w:line="276"/>
      </w:pPr>
      <w:r>
        <w:rPr>
          <w:rFonts w:ascii="Calibri" w:cs="Calibri" w:eastAsia="Calibri" w:hAnsi="Calibri"/>
          <w:color w:val="222222"/>
          <w:sz w:val="22"/>
          <w:szCs w:val="22"/>
        </w:rPr>
        <w:t xml:space="preserve">The call came in to Angela Soto’s scheduling queue at 8:42 on a Tuesday morning. Harold Jenkins, sixty-one, a patient of Dr. Carter’s for nine years, had a cough that had been getting worse for two weeks. He wanted to be seen.</w:t>
      </w:r>
    </w:p>
    <w:p>
      <w:pPr>
        <w:spacing w:after="160" w:line="276"/>
      </w:pPr>
      <w:r>
        <w:rPr>
          <w:rFonts w:ascii="Calibri" w:cs="Calibri" w:eastAsia="Calibri" w:hAnsi="Calibri"/>
          <w:color w:val="222222"/>
          <w:sz w:val="22"/>
          <w:szCs w:val="22"/>
        </w:rPr>
        <w:t xml:space="preserve">Soto’s screen told her what it told her forty times a day. Dr. Carter’s next open acute slot was twenty-three days out. The script authorized three moves: offer the slot, offer the nurse advice line, or — for symptoms on the escalation list — direct the patient to urgent care or the emergency department. A cough of two weeks’ duration, no fever reported, did not trigger the escalation list. Soto offered the appointment in twenty-three days. Mr. Jenkins asked if there was anything sooner. She checked the other providers: Dr. Ortiz had an opening in eleven days; the nurse practitioner had one in six. Mr. Jenkins said he would rather wait for his own doctor — Dr. Carter knew his history. Soto booked the slot, read the closing line of the script — "If your symptoms get worse, please go to urgent care or the emergency department" — and took the next call. The exchange lasted under two minutes. The decision inside it took eleven seconds, and the script, not Soto, made it.</w:t>
      </w:r>
    </w:p>
    <w:p>
      <w:pPr>
        <w:spacing w:after="160" w:line="276"/>
      </w:pPr>
      <w:r>
        <w:rPr>
          <w:rFonts w:ascii="Calibri" w:cs="Calibri" w:eastAsia="Calibri" w:hAnsi="Calibri"/>
          <w:color w:val="222222"/>
          <w:sz w:val="22"/>
          <w:szCs w:val="22"/>
        </w:rPr>
        <w:t xml:space="preserve">Eighteen days later, Harold Jenkins was diagnosed with community-acquired pneumonia in the Riverview emergency department, where he had arrived short of breath at 11 p.m. on a Saturday. He was treated and discharged with two prescriptions and, six weeks later, a bill for $1,480 — his plan’s ED cost-sharing plus imaging. His clinic appointment was still five days away. The clinic learned of the ED visit when the discharge summary landed in Dr. Carter’s in-basket, where it waited two days for her attention behind seventy other items.</w:t>
      </w:r>
      <w:r>
        <w:rPr>
          <w:rFonts w:ascii="Calibri" w:cs="Calibri" w:eastAsia="Calibri" w:hAnsi="Calibri"/>
          <w:i/>
          <w:iCs/>
          <w:color w:val="222222"/>
          <w:sz w:val="22"/>
          <w:szCs w:val="22"/>
        </w:rPr>
        <w:t xml:space="preserve"> (Dollar figures are illustrative and must not be generalized beyond this fictional clinic.)</w:t>
      </w:r>
      <w:r>
        <w:t xml:space="preserve"> (The dollar figure is illustrative; treat it as a signal of site-of-care cost shifting, not a finance exercise.)</w:t>
      </w:r>
    </w:p>
    <w:p>
      <w:pPr>
        <w:spacing w:after="160" w:line="276"/>
      </w:pPr>
      <w:r>
        <w:rPr>
          <w:rFonts w:ascii="Calibri" w:cs="Calibri" w:eastAsia="Calibri" w:hAnsi="Calibri"/>
          <w:color w:val="222222"/>
          <w:sz w:val="22"/>
          <w:szCs w:val="22"/>
        </w:rPr>
        <w:t xml:space="preserve">None of this registered anywhere on the ambulatory dashboard. The schedule had been full. The slot had been protected. The system had, by its own metrics, performed.</w:t>
      </w:r>
    </w:p>
    <w:p>
      <w:pPr>
        <w:pStyle w:val="Heading2"/>
        <w:spacing w:after="100" w:before="220"/>
      </w:pPr>
      <w:r>
        <w:rPr>
          <w:rFonts w:ascii="Calibri" w:cs="Calibri" w:eastAsia="Calibri" w:hAnsi="Calibri"/>
          <w:b/>
          <w:bCs/>
          <w:color w:val="2C7A7B"/>
          <w:sz w:val="24"/>
          <w:szCs w:val="24"/>
        </w:rPr>
        <w:t xml:space="preserve">3. 9:45 p.m.</w:t>
      </w:r>
    </w:p>
    <w:p>
      <w:pPr>
        <w:spacing w:after="160" w:line="276"/>
      </w:pPr>
      <w:r>
        <w:rPr>
          <w:rFonts w:ascii="Calibri" w:cs="Calibri" w:eastAsia="Calibri" w:hAnsi="Calibri"/>
          <w:color w:val="222222"/>
          <w:sz w:val="22"/>
          <w:szCs w:val="22"/>
        </w:rPr>
        <w:t xml:space="preserve">At 9:45 that Thursday evening, Melissa Carter sat at her kitchen table with a cup of tea going cold beside her laptop, working her in-basket. Seventy-four items: lab results to review and release, refill requests, patient messages, prior-authorization forms, three ED discharge summaries — Jenkins’s among them — and a form from a payer asking her to justify a medication she had prescribed for eleven years. Her last patient had left at 5:20. Her documentation had ended at 6:40. This, the second shift, belonged to no schedule and appeared on no report. She averaged, though she had never counted, more than two hours of it a night.</w:t>
      </w:r>
    </w:p>
    <w:p>
      <w:pPr>
        <w:spacing w:after="160" w:line="276"/>
      </w:pPr>
      <w:r>
        <w:rPr>
          <w:rFonts w:ascii="Calibri" w:cs="Calibri" w:eastAsia="Calibri" w:hAnsi="Calibri"/>
          <w:color w:val="222222"/>
          <w:sz w:val="22"/>
          <w:szCs w:val="22"/>
        </w:rPr>
        <w:t xml:space="preserve">The in-basket was where Carter’s 12 percent RVU growth actually lived. Every additional visit generated messages, results, refills, and forms — coordination work that consumed real hours but produced no wRVUs and appeared on no dashboard. Her growth was real; so was its shadow. And the shadow was growing faster than the growth.</w:t>
      </w:r>
    </w:p>
    <w:p>
      <w:pPr>
        <w:spacing w:after="160" w:line="276"/>
      </w:pPr>
      <w:r>
        <w:rPr>
          <w:rFonts w:ascii="Calibri" w:cs="Calibri" w:eastAsia="Calibri" w:hAnsi="Calibri"/>
          <w:color w:val="222222"/>
          <w:sz w:val="22"/>
          <w:szCs w:val="22"/>
        </w:rPr>
        <w:t xml:space="preserve">Reading Jenkins’s ED summary, Carter did what she had learned to do for the patients she worried about: she booked him a follow-up herself, and then — because getting into her schedule had become nearly impossible — she booked the next one too, three months out, just in case. She was not alone. Her patients had learned the same lesson: when you finally get a slot, keep one. Follow-ups were being scheduled not because the clinical situation required them but because the schedule’s scarcity did. Every defensive booking made the scarcity worse. Carter knew this, in the way one knows something at 9:45 p.m. without the energy to act on it. She released the last lab at 11:10 and went to bed.</w:t>
      </w:r>
    </w:p>
    <w:p>
      <w:pPr>
        <w:pStyle w:val="Heading2"/>
        <w:spacing w:after="100" w:before="220"/>
      </w:pPr>
      <w:r>
        <w:rPr>
          <w:rFonts w:ascii="Calibri" w:cs="Calibri" w:eastAsia="Calibri" w:hAnsi="Calibri"/>
          <w:b/>
          <w:bCs/>
          <w:color w:val="2C7A7B"/>
          <w:sz w:val="24"/>
          <w:szCs w:val="24"/>
        </w:rPr>
        <w:t xml:space="preserve">4. Two Drafts</w:t>
      </w:r>
    </w:p>
    <w:p>
      <w:pPr>
        <w:spacing w:after="160" w:line="276"/>
      </w:pPr>
      <w:r>
        <w:rPr>
          <w:rFonts w:ascii="Calibri" w:cs="Calibri" w:eastAsia="Calibri" w:hAnsi="Calibri"/>
          <w:color w:val="222222"/>
          <w:sz w:val="22"/>
          <w:szCs w:val="22"/>
        </w:rPr>
        <w:t xml:space="preserve">Priya Natarajan had written the email in March and never sent it. It sat in her drafts folder, addressed to the director of a hospitalist program two towns over, and she reread it roughly once a month — most recently the day a double-booked afternoon collapsed: two patients roomed for the same 1:40 slot, a walk-in chest-pain added on top, and a schedule that ran fifty minutes behind until 6 p.m. Double-booking had begun as an occasional workaround for no-shows. It was now routine — schedulers’ rational answer to a schedule in which more than one in five patients booked three weeks out never arrived. The no-shows made the double-booking necessary; the double-booking made the days chaotic; the chaos made the after-hours work longer.</w:t>
      </w:r>
    </w:p>
    <w:p>
      <w:pPr>
        <w:spacing w:after="160" w:line="276"/>
      </w:pPr>
      <w:r>
        <w:rPr>
          <w:rFonts w:ascii="Calibri" w:cs="Calibri" w:eastAsia="Calibri" w:hAnsi="Calibri"/>
          <w:color w:val="222222"/>
          <w:sz w:val="22"/>
          <w:szCs w:val="22"/>
        </w:rPr>
        <w:t xml:space="preserve">Down the hall, Tom Whitfield had a different draft: a request to drop to 0.8 FTE, which he described to his wife as "buying back Wednesdays with my own money." He was fifty-four, eleven years at Eastgate, and by his own account not burned out so much as done being the shock absorber for a schedule that no longer had any give in it. What both physicians noticed, and neither said in a meeting, was the lesson the dashboard taught: Carter — first in, last out, in-basket at midnight — was the system’s named exemplar. The network’s definition of excellence was the workload that was consuming her. Natarajan did not want to become Carter. That, more than any single bad afternoon, was what kept the draft alive.</w:t>
      </w:r>
    </w:p>
    <w:p>
      <w:pPr>
        <w:spacing w:after="160" w:line="276"/>
      </w:pPr>
      <w:r>
        <w:rPr>
          <w:rFonts w:ascii="Calibri" w:cs="Calibri" w:eastAsia="Calibri" w:hAnsi="Calibri"/>
          <w:color w:val="222222"/>
          <w:sz w:val="22"/>
          <w:szCs w:val="22"/>
        </w:rPr>
        <w:t xml:space="preserve">The exit-interview file from the nurse practitioner who had left in the fall said the same thing in plainer words: "The schedule is full before the week starts. There is no room for the patients who actually get sick. So we disappoint them all day, and then we catch up all night."</w:t>
      </w:r>
    </w:p>
    <w:p>
      <w:pPr>
        <w:spacing w:after="160" w:line="276"/>
      </w:pPr>
      <w:r>
        <w:rPr>
          <w:rFonts w:ascii="Calibri" w:cs="Calibri" w:eastAsia="Calibri" w:hAnsi="Calibri"/>
          <w:color w:val="222222"/>
          <w:sz w:val="22"/>
          <w:szCs w:val="22"/>
        </w:rPr>
        <w:t xml:space="preserve">Her position had taken eleven months to fill. During those eleven months, her panel had been redistributed across the remaining providers — most of it, in practice, to Carter, because Carter’s patients rarely complained and Carter never said no. The network had absorbed the vacancy so smoothly that no report ever recorded it as a capacity loss. That was the part Natarajan kept returning to: when someone left, the system did not slow down. It simply pressed harder on whoever stayed, and called the result productivity.</w:t>
      </w:r>
    </w:p>
    <w:p>
      <w:pPr>
        <w:pStyle w:val="Heading2"/>
        <w:spacing w:after="100" w:before="220"/>
      </w:pPr>
      <w:r>
        <w:rPr>
          <w:rFonts w:ascii="Calibri" w:cs="Calibri" w:eastAsia="Calibri" w:hAnsi="Calibri"/>
          <w:b/>
          <w:bCs/>
          <w:color w:val="2C7A7B"/>
          <w:sz w:val="24"/>
          <w:szCs w:val="24"/>
        </w:rPr>
        <w:t xml:space="preserve">5. The COO’s Dilemma</w:t>
      </w:r>
    </w:p>
    <w:p>
      <w:pPr>
        <w:spacing w:after="160" w:line="276"/>
      </w:pPr>
      <w:r>
        <w:rPr>
          <w:rFonts w:ascii="Calibri" w:cs="Calibri" w:eastAsia="Calibri" w:hAnsi="Calibri"/>
          <w:color w:val="222222"/>
          <w:sz w:val="22"/>
          <w:szCs w:val="22"/>
        </w:rPr>
        <w:t xml:space="preserve">Reyes spent the following week pulling data, and the picture assembled itself into something worse than a staffing problem. The call-center log showed Eastgate receiving an average of 31 same-day appointment requests per weekday; on a typical day, 9 were accommodated. The rest were booked out days or weeks, sent to the nurse line, or released to urgent care and the ED. Third-next-available appointment — the standard measure of real access — stood at 23 days for Carter and 14 days for the clinic as a whole, and it lengthened as fill rates rose. Nearly half of physician slots were consumed by routine follow-ups and administrative visits, a substantial share of them booked at intervals shorter than guidelines required. No-show rates climbed steeply with booking lead time, so the fullest schedules were also, in practice, the leakiest. And the ED report now put a monthly number on the overflow: patients of Riverview’s own network, arriving at the most expensive door in the system after the front door failed to open.</w:t>
      </w:r>
    </w:p>
    <w:p>
      <w:pPr>
        <w:spacing w:after="160" w:line="276"/>
      </w:pPr>
      <w:r>
        <w:rPr>
          <w:rFonts w:ascii="Calibri" w:cs="Calibri" w:eastAsia="Calibri" w:hAnsi="Calibri"/>
          <w:color w:val="222222"/>
          <w:sz w:val="22"/>
          <w:szCs w:val="22"/>
        </w:rPr>
        <w:t xml:space="preserve">On Tuesday he asked Carter directly, at the end of a meeting about something else, why so many of her slots were follow-ups. She answered with unnerving candor. "Because if I discharge someone from my schedule, I can’t get them back in when they need me. So I keep them. Everyone keeps them. We’re not booking visits, Daniel — we’re reserving lifeboats." She paused, then added the sentence he would still be thinking about on Monday: "The schedule stopped being a way to see patients a long time ago. Now it’s a way to ration me."</w:t>
      </w:r>
    </w:p>
    <w:p>
      <w:pPr>
        <w:spacing w:after="160" w:line="276"/>
      </w:pPr>
      <w:r>
        <w:rPr>
          <w:rFonts w:ascii="Calibri" w:cs="Calibri" w:eastAsia="Calibri" w:hAnsi="Calibri"/>
          <w:color w:val="222222"/>
          <w:sz w:val="22"/>
          <w:szCs w:val="22"/>
        </w:rPr>
        <w:t xml:space="preserve">On Wednesday, Karen Boyle, the chief financial officer, came to see him, carrying the same consultant deck the board chair loved. Her reading of the data was the mirror image of his. Fill rates below target at four sites; an NP with 12 percent of her schedule unused; no-show losses she proposed to recapture with stricter double-booking and a no-show fee. "We have capacity we’re not monetizing," she said. "Utilization is the lever." The board’s operating committee met Monday at 7:30 a.m., and the agenda item — written by the CFO — read: Ambulatory utilization: path to 95 percent.</w:t>
      </w:r>
    </w:p>
    <w:p>
      <w:pPr>
        <w:spacing w:after="160" w:line="276"/>
      </w:pPr>
      <w:r>
        <w:rPr>
          <w:rFonts w:ascii="Calibri" w:cs="Calibri" w:eastAsia="Calibri" w:hAnsi="Calibri"/>
          <w:color w:val="222222"/>
          <w:sz w:val="22"/>
          <w:szCs w:val="22"/>
        </w:rPr>
        <w:t xml:space="preserve">Reyes was fairly sure the item was exactly backwards. He was being asked to drive fill higher, when everything he had pulled that week said the fullness was the disease — that the network’s schedules were fully booked and inaccessible at the same time, that the ED was absorbing the difference, that his best physician’s productivity was a warning being read as a model, and that the dashboard could not see any of it. But "the metric is wrong" is a diagnosis, not a proposal. If he stood up Monday and argued for deliberately holding slots open — for burning down the follow-up backlog, protecting same-day capacity, and rebuilding the team around Carter instead of routing everything through her — he would be proposing, to a committee whose stated goal was 95 percent utilization, that Riverview plan to run its clinics with visible slack. He could already hear the first question, because the CFO had asked it in his office on Wednesday: "You want to fix an access problem by scheduling fewer patients?"</w:t>
      </w:r>
    </w:p>
    <w:p>
      <w:pPr>
        <w:spacing w:after="160" w:line="276"/>
      </w:pPr>
      <w:r>
        <w:rPr>
          <w:rFonts w:ascii="Calibri" w:cs="Calibri" w:eastAsia="Calibri" w:hAnsi="Calibri"/>
          <w:color w:val="222222"/>
          <w:sz w:val="22"/>
          <w:szCs w:val="22"/>
        </w:rPr>
        <w:t xml:space="preserve">He had four days. The committee expected a proposal, not a diagnosis.</w:t>
      </w:r>
    </w:p>
    <w:p>
      <w:pPr>
        <w:pStyle w:val="Heading1"/>
        <w:pageBreakBefore/>
        <w:spacing w:after="140" w:before="0"/>
      </w:pPr>
      <w:r>
        <w:rPr>
          <w:rFonts w:ascii="Calibri" w:cs="Calibri" w:eastAsia="Calibri" w:hAnsi="Calibri"/>
          <w:b/>
          <w:bCs/>
          <w:color w:val="1F3A5F"/>
          <w:sz w:val="30"/>
          <w:szCs w:val="30"/>
        </w:rPr>
        <w:t xml:space="preserve">Exhibits</w:t>
      </w:r>
    </w:p>
    <w:p>
      <w:pPr>
        <w:spacing w:after="160" w:line="276"/>
      </w:pPr>
      <w:r>
        <w:rPr>
          <w:rFonts w:ascii="Calibri" w:cs="Calibri" w:eastAsia="Calibri" w:hAnsi="Calibri"/>
          <w:color w:val="222222"/>
          <w:sz w:val="22"/>
          <w:szCs w:val="22"/>
        </w:rPr>
        <w:t xml:space="preserve">All exhibits report the most recent full quarter unless noted. </w:t>
      </w:r>
      <w:r>
        <w:rPr>
          <w:rFonts w:ascii="Calibri" w:cs="Calibri" w:eastAsia="Calibri" w:hAnsi="Calibri"/>
          <w:i/>
          <w:iCs/>
          <w:color w:val="595959"/>
          <w:sz w:val="22"/>
          <w:szCs w:val="22"/>
        </w:rPr>
        <w:t xml:space="preserve">Every exhibit in this case is illustrative — constructed for teaching; not from a real institution.</w:t>
      </w:r>
    </w:p>
    <w:p>
      <w:pPr>
        <w:spacing w:after="80" w:before="200"/>
      </w:pPr>
      <w:r>
        <w:rPr>
          <w:rFonts w:ascii="Calibri" w:cs="Calibri" w:eastAsia="Calibri" w:hAnsi="Calibri"/>
          <w:b/>
          <w:bCs/>
          <w:color w:val="1F3A5F"/>
          <w:sz w:val="22"/>
          <w:szCs w:val="22"/>
        </w:rPr>
        <w:t xml:space="preserve">Exhibit 1. Schedule fill and Third-Next-Available (TNA) appointment, by provider — Riverview Primary Care, Eastgate</w:t>
      </w:r>
    </w:p>
    <w:p>
      <w:r>
        <w:rPr>
          <w:b w:val="0"/>
          <w:i/>
        </w:rPr>
        <w:t>Within this fictional clinic, the provider rows are constructed to make the utilization–delay nonlinearity visible; do not infer a generalizable dose-response from four data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80"/>
        <w:gridCol w:w="1030"/>
        <w:gridCol w:w="1550"/>
        <w:gridCol w:w="1600"/>
        <w:gridCol w:w="1600"/>
        <w:gridCol w:w="1400"/>
      </w:tblGrid>
      <w:tr>
        <w:trPr>
          <w:tblHeader/>
        </w:trPr>
        <w:tc>
          <w:tcPr>
            <w:tcW w:type="dxa" w:w="218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Provider</w:t>
            </w:r>
          </w:p>
        </w:tc>
        <w:tc>
          <w:tcPr>
            <w:tcW w:type="dxa" w:w="103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Role</w:t>
            </w:r>
          </w:p>
        </w:tc>
        <w:tc>
          <w:tcPr>
            <w:tcW w:type="dxa" w:w="155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Schedule fill (%)</w:t>
            </w:r>
          </w:p>
        </w:tc>
        <w:tc>
          <w:tcPr>
            <w:tcW w:type="dxa" w:w="16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TNA — acute (days)</w:t>
            </w:r>
          </w:p>
        </w:tc>
        <w:tc>
          <w:tcPr>
            <w:tcW w:type="dxa" w:w="16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TNA — routine (days)</w:t>
            </w:r>
          </w:p>
        </w:tc>
        <w:tc>
          <w:tcPr>
            <w:tcW w:type="dxa" w:w="14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Panel size</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Carter, M.</w:t>
            </w:r>
          </w:p>
        </w:tc>
        <w:tc>
          <w:tcPr>
            <w:tcW w:type="dxa" w:w="1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MD</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98</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23</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41</w:t>
            </w:r>
          </w:p>
        </w:tc>
        <w:tc>
          <w:tcPr>
            <w:tcW w:type="dxa" w:w="14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2,340</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Natarajan, P.</w:t>
            </w:r>
          </w:p>
        </w:tc>
        <w:tc>
          <w:tcPr>
            <w:tcW w:type="dxa" w:w="1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MD</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96</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18</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34</w:t>
            </w:r>
          </w:p>
        </w:tc>
        <w:tc>
          <w:tcPr>
            <w:tcW w:type="dxa" w:w="14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2,050</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Whitfield, T.</w:t>
            </w:r>
          </w:p>
        </w:tc>
        <w:tc>
          <w:tcPr>
            <w:tcW w:type="dxa" w:w="1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MD</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95</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16</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29</w:t>
            </w:r>
          </w:p>
        </w:tc>
        <w:tc>
          <w:tcPr>
            <w:tcW w:type="dxa" w:w="14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1,980</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Ortiz, L.</w:t>
            </w:r>
          </w:p>
        </w:tc>
        <w:tc>
          <w:tcPr>
            <w:tcW w:type="dxa" w:w="1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MD</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92</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22</w:t>
            </w:r>
          </w:p>
        </w:tc>
        <w:tc>
          <w:tcPr>
            <w:tcW w:type="dxa" w:w="14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1,760</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Chen, R.</w:t>
            </w:r>
          </w:p>
        </w:tc>
        <w:tc>
          <w:tcPr>
            <w:tcW w:type="dxa" w:w="1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NP</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88</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w:t>
            </w:r>
          </w:p>
        </w:tc>
        <w:tc>
          <w:tcPr>
            <w:tcW w:type="dxa" w:w="14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1,120</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Douglas, S.</w:t>
            </w:r>
          </w:p>
        </w:tc>
        <w:tc>
          <w:tcPr>
            <w:tcW w:type="dxa" w:w="1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PA</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85</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w:t>
            </w:r>
          </w:p>
        </w:tc>
        <w:tc>
          <w:tcPr>
            <w:tcW w:type="dxa" w:w="14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980</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bCs/>
                <w:color w:val="222222"/>
                <w:sz w:val="19"/>
                <w:szCs w:val="19"/>
              </w:rPr>
              <w:t xml:space="preserve">Clinic overall</w:t>
            </w:r>
          </w:p>
        </w:tc>
        <w:tc>
          <w:tcPr>
            <w:tcW w:type="dxa" w:w="1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93</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14</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27</w:t>
            </w:r>
          </w:p>
        </w:tc>
        <w:tc>
          <w:tcPr>
            <w:tcW w:type="dxa" w:w="14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10,230</w:t>
            </w:r>
          </w:p>
        </w:tc>
      </w:tr>
    </w:tbl>
    <w:p>
      <w:pPr>
        <w:spacing w:after="0" w:before="80"/>
      </w:pPr>
      <w:r>
        <w:rPr>
          <w:rFonts w:ascii="Calibri" w:cs="Calibri" w:eastAsia="Calibri" w:hAnsi="Calibri"/>
          <w:color w:val="595959"/>
          <w:sz w:val="18"/>
          <w:szCs w:val="18"/>
        </w:rPr>
        <w:t xml:space="preserve">TNA = third-next-available appointment, the standard access measure (less distorted by cancellations than next-available). Note the shape of the relationship: fill rising from 92 to 98 percent is associated with acute TNA rising from 11 to 23 days.</w:t>
      </w:r>
    </w:p>
    <w:p>
      <w:pPr>
        <w:spacing w:after="220" w:before="60"/>
      </w:pPr>
      <w:r>
        <w:rPr>
          <w:rFonts w:ascii="Calibri" w:cs="Calibri" w:eastAsia="Calibri" w:hAnsi="Calibri"/>
          <w:i/>
          <w:iCs/>
          <w:color w:val="595959"/>
          <w:sz w:val="18"/>
          <w:szCs w:val="18"/>
        </w:rPr>
        <w:t xml:space="preserve">Illustrative data — constructed for teaching; not from a real institution.</w:t>
      </w:r>
    </w:p>
    <w:p>
      <w:pPr>
        <w:spacing w:after="80" w:before="200"/>
      </w:pPr>
      <w:r>
        <w:rPr>
          <w:rFonts w:ascii="Calibri" w:cs="Calibri" w:eastAsia="Calibri" w:hAnsi="Calibri"/>
          <w:b/>
          <w:bCs/>
          <w:color w:val="1F3A5F"/>
          <w:sz w:val="22"/>
          <w:szCs w:val="22"/>
        </w:rPr>
        <w:t xml:space="preserve">Exhibit 2. Visit-type mix — share of physician slots consumed, most recent quarter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1960"/>
        <w:gridCol w:w="3500"/>
      </w:tblGrid>
      <w:tr>
        <w:trPr>
          <w:tblHeader/>
        </w:trPr>
        <w:tc>
          <w:tcPr>
            <w:tcW w:type="dxa" w:w="39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Visit type</w:t>
            </w:r>
          </w:p>
        </w:tc>
        <w:tc>
          <w:tcPr>
            <w:tcW w:type="dxa" w:w="196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Share of physician slots (%)</w:t>
            </w:r>
          </w:p>
        </w:tc>
        <w:tc>
          <w:tcPr>
            <w:tcW w:type="dxa" w:w="35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Notes</w:t>
            </w:r>
          </w:p>
        </w:tc>
      </w:tr>
      <w:tr>
        <w:trPr>
          <w:cantSplit/>
        </w:trPr>
        <w:tc>
          <w:tcPr>
            <w:tcW w:type="dxa" w:w="39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Routine follow-up, stable chronic condition</w:t>
            </w:r>
          </w:p>
        </w:tc>
        <w:tc>
          <w:tcPr>
            <w:tcW w:type="dxa" w:w="19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38</w:t>
            </w:r>
          </w:p>
        </w:tc>
        <w:tc>
          <w:tcPr>
            <w:tcW w:type="dxa" w:w="35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Of which booked at intervals shorter than guideline-supported: 14 percentage points</w:t>
            </w:r>
          </w:p>
        </w:tc>
      </w:tr>
      <w:tr>
        <w:trPr>
          <w:cantSplit/>
        </w:trPr>
        <w:tc>
          <w:tcPr>
            <w:tcW w:type="dxa" w:w="39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Medication refill / administrative visits</w:t>
            </w:r>
          </w:p>
        </w:tc>
        <w:tc>
          <w:tcPr>
            <w:tcW w:type="dxa" w:w="19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w:t>
            </w:r>
          </w:p>
        </w:tc>
        <w:tc>
          <w:tcPr>
            <w:tcW w:type="dxa" w:w="35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Largely manageable asynchronously (portal, pharmacy protocol)</w:t>
            </w:r>
          </w:p>
        </w:tc>
      </w:tr>
      <w:tr>
        <w:trPr>
          <w:cantSplit/>
        </w:trPr>
        <w:tc>
          <w:tcPr>
            <w:tcW w:type="dxa" w:w="39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Results-review visits</w:t>
            </w:r>
          </w:p>
        </w:tc>
        <w:tc>
          <w:tcPr>
            <w:tcW w:type="dxa" w:w="19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8</w:t>
            </w:r>
          </w:p>
        </w:tc>
        <w:tc>
          <w:tcPr>
            <w:tcW w:type="dxa" w:w="35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Largely convertible to portal release with message</w:t>
            </w:r>
          </w:p>
        </w:tc>
      </w:tr>
      <w:tr>
        <w:trPr>
          <w:cantSplit/>
        </w:trPr>
        <w:tc>
          <w:tcPr>
            <w:tcW w:type="dxa" w:w="39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Annual physicals / wellness</w:t>
            </w:r>
          </w:p>
        </w:tc>
        <w:tc>
          <w:tcPr>
            <w:tcW w:type="dxa" w:w="19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17</w:t>
            </w:r>
          </w:p>
        </w:tc>
        <w:tc>
          <w:tcPr>
            <w:tcW w:type="dxa" w:w="35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Seasonal peaks; booked up to 6 months ahead</w:t>
            </w:r>
          </w:p>
        </w:tc>
      </w:tr>
      <w:tr>
        <w:trPr>
          <w:cantSplit/>
        </w:trPr>
        <w:tc>
          <w:tcPr>
            <w:tcW w:type="dxa" w:w="39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Acute / same-day</w:t>
            </w:r>
          </w:p>
        </w:tc>
        <w:tc>
          <w:tcPr>
            <w:tcW w:type="dxa" w:w="19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w:t>
            </w:r>
          </w:p>
        </w:tc>
        <w:tc>
          <w:tcPr>
            <w:tcW w:type="dxa" w:w="35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Constrained by slot availability, not demand</w:t>
            </w:r>
          </w:p>
        </w:tc>
      </w:tr>
      <w:tr>
        <w:trPr>
          <w:cantSplit/>
        </w:trPr>
        <w:tc>
          <w:tcPr>
            <w:tcW w:type="dxa" w:w="39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New patient</w:t>
            </w:r>
          </w:p>
        </w:tc>
        <w:tc>
          <w:tcPr>
            <w:tcW w:type="dxa" w:w="19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w:t>
            </w:r>
          </w:p>
        </w:tc>
        <w:tc>
          <w:tcPr>
            <w:tcW w:type="dxa" w:w="35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Panel closed for Carter; 60-day wait elsewhere</w:t>
            </w:r>
          </w:p>
        </w:tc>
      </w:tr>
      <w:tr>
        <w:trPr>
          <w:cantSplit/>
        </w:trPr>
        <w:tc>
          <w:tcPr>
            <w:tcW w:type="dxa" w:w="39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Procedures</w:t>
            </w:r>
          </w:p>
        </w:tc>
        <w:tc>
          <w:tcPr>
            <w:tcW w:type="dxa" w:w="19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7</w:t>
            </w:r>
          </w:p>
        </w:tc>
        <w:tc>
          <w:tcPr>
            <w:tcW w:type="dxa" w:w="35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w:t>
            </w:r>
          </w:p>
        </w:tc>
      </w:tr>
      <w:tr>
        <w:trPr>
          <w:cantSplit/>
        </w:trPr>
        <w:tc>
          <w:tcPr>
            <w:tcW w:type="dxa" w:w="39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Other</w:t>
            </w:r>
          </w:p>
        </w:tc>
        <w:tc>
          <w:tcPr>
            <w:tcW w:type="dxa" w:w="196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w:t>
            </w:r>
          </w:p>
        </w:tc>
        <w:tc>
          <w:tcPr>
            <w:tcW w:type="dxa" w:w="35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w:t>
            </w:r>
          </w:p>
        </w:tc>
      </w:tr>
    </w:tbl>
    <w:p>
      <w:pPr>
        <w:spacing w:after="0" w:before="80"/>
      </w:pPr>
      <w:r>
        <w:rPr>
          <w:rFonts w:ascii="Calibri" w:cs="Calibri" w:eastAsia="Calibri" w:hAnsi="Calibri"/>
          <w:color w:val="595959"/>
          <w:sz w:val="18"/>
          <w:szCs w:val="18"/>
        </w:rPr>
        <w:t xml:space="preserve">Call-center log, same quarter: mean 31 same-day appointment requests per weekday; mean 9 accommodated same-day.</w:t>
      </w:r>
    </w:p>
    <w:p>
      <w:pPr>
        <w:spacing w:after="220" w:before="60"/>
      </w:pPr>
      <w:r>
        <w:rPr>
          <w:rFonts w:ascii="Calibri" w:cs="Calibri" w:eastAsia="Calibri" w:hAnsi="Calibri"/>
          <w:i/>
          <w:iCs/>
          <w:color w:val="595959"/>
          <w:sz w:val="18"/>
          <w:szCs w:val="18"/>
        </w:rPr>
        <w:t xml:space="preserve">Illustrative data — constructed for teaching; not from a real institution.</w:t>
      </w:r>
    </w:p>
    <w:p>
      <w:pPr>
        <w:spacing w:after="80" w:before="200"/>
      </w:pPr>
      <w:r>
        <w:rPr>
          <w:rFonts w:ascii="Calibri" w:cs="Calibri" w:eastAsia="Calibri" w:hAnsi="Calibri"/>
          <w:b/>
          <w:bCs/>
          <w:color w:val="1F3A5F"/>
          <w:sz w:val="22"/>
          <w:szCs w:val="22"/>
        </w:rPr>
        <w:t xml:space="preserve">Exhibit 3. Monthly in-basket volume and after-hours EHR time, by physician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80"/>
        <w:gridCol w:w="1800"/>
        <w:gridCol w:w="1750"/>
        <w:gridCol w:w="2030"/>
        <w:gridCol w:w="1600"/>
      </w:tblGrid>
      <w:tr>
        <w:trPr>
          <w:tblHeader/>
        </w:trPr>
        <w:tc>
          <w:tcPr>
            <w:tcW w:type="dxa" w:w="218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Provider</w:t>
            </w:r>
          </w:p>
        </w:tc>
        <w:tc>
          <w:tcPr>
            <w:tcW w:type="dxa" w:w="18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In-basket items / month</w:t>
            </w:r>
          </w:p>
        </w:tc>
        <w:tc>
          <w:tcPr>
            <w:tcW w:type="dxa" w:w="175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Same month, prior year</w:t>
            </w:r>
          </w:p>
        </w:tc>
        <w:tc>
          <w:tcPr>
            <w:tcW w:type="dxa" w:w="203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After-hours EHR time (hrs / month)</w:t>
            </w:r>
          </w:p>
        </w:tc>
        <w:tc>
          <w:tcPr>
            <w:tcW w:type="dxa" w:w="16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Notes finished after 8 p.m. (%)</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Carter, M.</w:t>
            </w:r>
          </w:p>
        </w:tc>
        <w:tc>
          <w:tcPr>
            <w:tcW w:type="dxa" w:w="18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1,480</w:t>
            </w:r>
          </w:p>
        </w:tc>
        <w:tc>
          <w:tcPr>
            <w:tcW w:type="dxa" w:w="17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1,020</w:t>
            </w:r>
          </w:p>
        </w:tc>
        <w:tc>
          <w:tcPr>
            <w:tcW w:type="dxa" w:w="2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46</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38</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Natarajan, P.</w:t>
            </w:r>
          </w:p>
        </w:tc>
        <w:tc>
          <w:tcPr>
            <w:tcW w:type="dxa" w:w="18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1,310</w:t>
            </w:r>
          </w:p>
        </w:tc>
        <w:tc>
          <w:tcPr>
            <w:tcW w:type="dxa" w:w="17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1,040</w:t>
            </w:r>
          </w:p>
        </w:tc>
        <w:tc>
          <w:tcPr>
            <w:tcW w:type="dxa" w:w="2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41</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33</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Whitfield, T.</w:t>
            </w:r>
          </w:p>
        </w:tc>
        <w:tc>
          <w:tcPr>
            <w:tcW w:type="dxa" w:w="18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1,270</w:t>
            </w:r>
          </w:p>
        </w:tc>
        <w:tc>
          <w:tcPr>
            <w:tcW w:type="dxa" w:w="17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1,010</w:t>
            </w:r>
          </w:p>
        </w:tc>
        <w:tc>
          <w:tcPr>
            <w:tcW w:type="dxa" w:w="2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39</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31</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Ortiz, L.</w:t>
            </w:r>
          </w:p>
        </w:tc>
        <w:tc>
          <w:tcPr>
            <w:tcW w:type="dxa" w:w="18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1,050</w:t>
            </w:r>
          </w:p>
        </w:tc>
        <w:tc>
          <w:tcPr>
            <w:tcW w:type="dxa" w:w="17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890</w:t>
            </w:r>
          </w:p>
        </w:tc>
        <w:tc>
          <w:tcPr>
            <w:tcW w:type="dxa" w:w="2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28</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22</w:t>
            </w:r>
          </w:p>
        </w:tc>
      </w:tr>
      <w:tr>
        <w:trPr>
          <w:cantSplit/>
        </w:trPr>
        <w:tc>
          <w:tcPr>
            <w:tcW w:type="dxa" w:w="21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Chen, R. (NP)</w:t>
            </w:r>
          </w:p>
        </w:tc>
        <w:tc>
          <w:tcPr>
            <w:tcW w:type="dxa" w:w="18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760</w:t>
            </w:r>
          </w:p>
        </w:tc>
        <w:tc>
          <w:tcPr>
            <w:tcW w:type="dxa" w:w="17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700</w:t>
            </w:r>
          </w:p>
        </w:tc>
        <w:tc>
          <w:tcPr>
            <w:tcW w:type="dxa" w:w="20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18</w:t>
            </w:r>
          </w:p>
        </w:tc>
        <w:tc>
          <w:tcPr>
            <w:tcW w:type="dxa" w:w="16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15</w:t>
            </w:r>
          </w:p>
        </w:tc>
      </w:tr>
      <w:tr>
        <w:trPr>
          <w:cantSplit/>
        </w:trPr>
        <w:tc>
          <w:tcPr>
            <w:tcW w:type="dxa" w:w="218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Douglas, S. (PA)</w:t>
            </w:r>
          </w:p>
        </w:tc>
        <w:tc>
          <w:tcPr>
            <w:tcW w:type="dxa" w:w="18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690</w:t>
            </w:r>
          </w:p>
        </w:tc>
        <w:tc>
          <w:tcPr>
            <w:tcW w:type="dxa" w:w="17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650</w:t>
            </w:r>
          </w:p>
        </w:tc>
        <w:tc>
          <w:tcPr>
            <w:tcW w:type="dxa" w:w="20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15</w:t>
            </w:r>
          </w:p>
        </w:tc>
        <w:tc>
          <w:tcPr>
            <w:tcW w:type="dxa" w:w="160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12</w:t>
            </w:r>
          </w:p>
        </w:tc>
      </w:tr>
    </w:tbl>
    <w:p>
      <w:pPr>
        <w:spacing w:after="0" w:before="80"/>
      </w:pPr>
      <w:r>
        <w:rPr>
          <w:rFonts w:ascii="Calibri" w:cs="Calibri" w:eastAsia="Calibri" w:hAnsi="Calibri"/>
          <w:color w:val="595959"/>
          <w:sz w:val="18"/>
          <w:szCs w:val="18"/>
        </w:rPr>
        <w:t xml:space="preserve">After-hours EHR time = documented EHR activity outside 7 a.m.–6 p.m. clinic hours. None of this time is scheduled, staffed, or reported on the ambulatory dashboard.</w:t>
      </w:r>
    </w:p>
    <w:p>
      <w:pPr>
        <w:spacing w:after="220" w:before="60"/>
      </w:pPr>
      <w:r>
        <w:rPr>
          <w:rFonts w:ascii="Calibri" w:cs="Calibri" w:eastAsia="Calibri" w:hAnsi="Calibri"/>
          <w:i/>
          <w:iCs/>
          <w:color w:val="595959"/>
          <w:sz w:val="18"/>
          <w:szCs w:val="18"/>
        </w:rPr>
        <w:t xml:space="preserve">Illustrative data — constructed for teaching; not from a real institution.</w:t>
      </w:r>
    </w:p>
    <w:p>
      <w:pPr>
        <w:spacing w:after="80" w:before="200"/>
      </w:pPr>
      <w:r>
        <w:rPr>
          <w:rFonts w:ascii="Calibri" w:cs="Calibri" w:eastAsia="Calibri" w:hAnsi="Calibri"/>
          <w:b/>
          <w:bCs/>
          <w:color w:val="1F3A5F"/>
          <w:sz w:val="22"/>
          <w:szCs w:val="22"/>
        </w:rPr>
        <w:t xml:space="preserve">Exhibit 4. Emergency department visits by Eastgate-empaneled patients, last six months</w:t>
      </w:r>
    </w:p>
    <w:p>
      <w:pPr>
        <w:spacing w:after="80"/>
      </w:pPr>
      <w:r>
        <w:rPr>
          <w:rFonts w:ascii="Calibri" w:cs="Calibri" w:eastAsia="Calibri" w:hAnsi="Calibri"/>
          <w:i/>
          <w:iCs/>
          <w:color w:val="595959"/>
          <w:sz w:val="18"/>
          <w:szCs w:val="18"/>
        </w:rPr>
        <w:t xml:space="preserve">Instructors may substitute allowed amounts or a relative cost index for billed charges.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0"/>
        <w:gridCol w:w="2170"/>
        <w:gridCol w:w="2320"/>
        <w:gridCol w:w="1990"/>
        <w:gridCol w:w="1550"/>
      </w:tblGrid>
      <w:tr>
        <w:trPr>
          <w:tblHeader/>
        </w:trPr>
        <w:tc>
          <w:tcPr>
            <w:tcW w:type="dxa" w:w="133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Month</w:t>
            </w:r>
          </w:p>
        </w:tc>
        <w:tc>
          <w:tcPr>
            <w:tcW w:type="dxa" w:w="217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ED visits by empaneled patients</w:t>
            </w:r>
          </w:p>
        </w:tc>
        <w:tc>
          <w:tcPr>
            <w:tcW w:type="dxa" w:w="232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Flagged “attempted PCP booking first”</w:t>
            </w:r>
          </w:p>
        </w:tc>
        <w:tc>
          <w:tcPr>
            <w:tcW w:type="dxa" w:w="199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Triaged low-acuity (ESI 4–5)</w:t>
            </w:r>
          </w:p>
        </w:tc>
        <w:tc>
          <w:tcPr>
            <w:tcW w:type="dxa" w:w="155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Mean billed charge ($)</w:t>
            </w:r>
          </w:p>
        </w:tc>
      </w:tr>
      <w:tr>
        <w:trPr>
          <w:cantSplit/>
        </w:trPr>
        <w:tc>
          <w:tcPr>
            <w:tcW w:type="dxa" w:w="13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January</w:t>
            </w:r>
          </w:p>
        </w:tc>
        <w:tc>
          <w:tcPr>
            <w:tcW w:type="dxa" w:w="21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214</w:t>
            </w:r>
          </w:p>
        </w:tc>
        <w:tc>
          <w:tcPr>
            <w:tcW w:type="dxa" w:w="23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96</w:t>
            </w:r>
          </w:p>
        </w:tc>
        <w:tc>
          <w:tcPr>
            <w:tcW w:type="dxa" w:w="199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88</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1,420</w:t>
            </w:r>
          </w:p>
        </w:tc>
      </w:tr>
      <w:tr>
        <w:trPr>
          <w:cantSplit/>
        </w:trPr>
        <w:tc>
          <w:tcPr>
            <w:tcW w:type="dxa" w:w="13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February</w:t>
            </w:r>
          </w:p>
        </w:tc>
        <w:tc>
          <w:tcPr>
            <w:tcW w:type="dxa" w:w="21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221</w:t>
            </w:r>
          </w:p>
        </w:tc>
        <w:tc>
          <w:tcPr>
            <w:tcW w:type="dxa" w:w="23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103</w:t>
            </w:r>
          </w:p>
        </w:tc>
        <w:tc>
          <w:tcPr>
            <w:tcW w:type="dxa" w:w="199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91</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1,390</w:t>
            </w:r>
          </w:p>
        </w:tc>
      </w:tr>
      <w:tr>
        <w:trPr>
          <w:cantSplit/>
        </w:trPr>
        <w:tc>
          <w:tcPr>
            <w:tcW w:type="dxa" w:w="13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March</w:t>
            </w:r>
          </w:p>
        </w:tc>
        <w:tc>
          <w:tcPr>
            <w:tcW w:type="dxa" w:w="21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236</w:t>
            </w:r>
          </w:p>
        </w:tc>
        <w:tc>
          <w:tcPr>
            <w:tcW w:type="dxa" w:w="23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118</w:t>
            </w:r>
          </w:p>
        </w:tc>
        <w:tc>
          <w:tcPr>
            <w:tcW w:type="dxa" w:w="199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102</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1,460</w:t>
            </w:r>
          </w:p>
        </w:tc>
      </w:tr>
      <w:tr>
        <w:trPr>
          <w:cantSplit/>
        </w:trPr>
        <w:tc>
          <w:tcPr>
            <w:tcW w:type="dxa" w:w="13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April</w:t>
            </w:r>
          </w:p>
        </w:tc>
        <w:tc>
          <w:tcPr>
            <w:tcW w:type="dxa" w:w="21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242</w:t>
            </w:r>
          </w:p>
        </w:tc>
        <w:tc>
          <w:tcPr>
            <w:tcW w:type="dxa" w:w="23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127</w:t>
            </w:r>
          </w:p>
        </w:tc>
        <w:tc>
          <w:tcPr>
            <w:tcW w:type="dxa" w:w="199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109</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1,480</w:t>
            </w:r>
          </w:p>
        </w:tc>
      </w:tr>
      <w:tr>
        <w:trPr>
          <w:cantSplit/>
        </w:trPr>
        <w:tc>
          <w:tcPr>
            <w:tcW w:type="dxa" w:w="133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May</w:t>
            </w:r>
          </w:p>
        </w:tc>
        <w:tc>
          <w:tcPr>
            <w:tcW w:type="dxa" w:w="21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251</w:t>
            </w:r>
          </w:p>
        </w:tc>
        <w:tc>
          <w:tcPr>
            <w:tcW w:type="dxa" w:w="23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134</w:t>
            </w:r>
          </w:p>
        </w:tc>
        <w:tc>
          <w:tcPr>
            <w:tcW w:type="dxa" w:w="199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112</w:t>
            </w:r>
          </w:p>
        </w:tc>
        <w:tc>
          <w:tcPr>
            <w:tcW w:type="dxa" w:w="15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1,510</w:t>
            </w:r>
          </w:p>
        </w:tc>
      </w:tr>
      <w:tr>
        <w:trPr>
          <w:cantSplit/>
        </w:trPr>
        <w:tc>
          <w:tcPr>
            <w:tcW w:type="dxa" w:w="133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June</w:t>
            </w:r>
          </w:p>
        </w:tc>
        <w:tc>
          <w:tcPr>
            <w:tcW w:type="dxa" w:w="21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263</w:t>
            </w:r>
          </w:p>
        </w:tc>
        <w:tc>
          <w:tcPr>
            <w:tcW w:type="dxa" w:w="23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148</w:t>
            </w:r>
          </w:p>
        </w:tc>
        <w:tc>
          <w:tcPr>
            <w:tcW w:type="dxa" w:w="199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121</w:t>
            </w:r>
          </w:p>
        </w:tc>
        <w:tc>
          <w:tcPr>
            <w:tcW w:type="dxa" w:w="155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1,530</w:t>
            </w:r>
          </w:p>
        </w:tc>
      </w:tr>
    </w:tbl>
    <w:p>
      <w:pPr>
        <w:spacing w:after="0" w:before="80"/>
      </w:pPr>
      <w:r>
        <w:rPr>
          <w:rFonts w:ascii="Calibri" w:cs="Calibri" w:eastAsia="Calibri" w:hAnsi="Calibri"/>
          <w:color w:val="595959"/>
          <w:sz w:val="18"/>
          <w:szCs w:val="18"/>
        </w:rPr>
        <w:t xml:space="preserve">“Attempted PCP booking first” is self-reported at ED intake (collected since January). ESI = Emergency Severity Index; levels 4–5 indicate presentations typically manageable in a primary-care setting. Charges ≠ allowed amounts ≠ patient out-of-pocket. Exhibit 4 shows billed charges for scale only; instructors may substitute allowed amounts or a relative index. Do not treat any of the three as interchangeable in cost arguments. Dollar figures are illustrative and must not be generalized beyond this fictional clinic.</w:t>
      </w:r>
    </w:p>
    <w:p>
      <w:pPr>
        <w:spacing w:after="220" w:before="60"/>
      </w:pPr>
      <w:r>
        <w:rPr>
          <w:rFonts w:ascii="Calibri" w:cs="Calibri" w:eastAsia="Calibri" w:hAnsi="Calibri"/>
          <w:i/>
          <w:iCs/>
          <w:color w:val="595959"/>
          <w:sz w:val="18"/>
          <w:szCs w:val="18"/>
        </w:rPr>
        <w:t xml:space="preserve">Illustrative data — constructed for teaching; not from a real institution.</w:t>
      </w:r>
    </w:p>
    <w:p>
      <w:pPr>
        <w:spacing w:after="80" w:before="200"/>
      </w:pPr>
      <w:r>
        <w:rPr>
          <w:rFonts w:ascii="Calibri" w:cs="Calibri" w:eastAsia="Calibri" w:hAnsi="Calibri"/>
          <w:b/>
          <w:bCs/>
          <w:color w:val="1F3A5F"/>
          <w:sz w:val="22"/>
          <w:szCs w:val="22"/>
        </w:rPr>
        <w:t xml:space="preserve">Exhibit 5a. No-show rate by booking lead time — all Eastgate providers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20"/>
        <w:gridCol w:w="2770"/>
        <w:gridCol w:w="2770"/>
      </w:tblGrid>
      <w:tr>
        <w:trPr>
          <w:tblHeader/>
        </w:trPr>
        <w:tc>
          <w:tcPr>
            <w:tcW w:type="dxa" w:w="382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Booking lead time</w:t>
            </w:r>
          </w:p>
        </w:tc>
        <w:tc>
          <w:tcPr>
            <w:tcW w:type="dxa" w:w="277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Share of bookings (%)</w:t>
            </w:r>
          </w:p>
        </w:tc>
        <w:tc>
          <w:tcPr>
            <w:tcW w:type="dxa" w:w="277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No-show rate (%)</w:t>
            </w:r>
          </w:p>
        </w:tc>
      </w:tr>
      <w:tr>
        <w:trPr>
          <w:cantSplit/>
        </w:trPr>
        <w:tc>
          <w:tcPr>
            <w:tcW w:type="dxa" w:w="38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0–1 days</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4.1</w:t>
            </w:r>
          </w:p>
        </w:tc>
      </w:tr>
      <w:tr>
        <w:trPr>
          <w:cantSplit/>
        </w:trPr>
        <w:tc>
          <w:tcPr>
            <w:tcW w:type="dxa" w:w="38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2–7 days</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19</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6.8</w:t>
            </w:r>
          </w:p>
        </w:tc>
      </w:tr>
      <w:tr>
        <w:trPr>
          <w:cantSplit/>
        </w:trPr>
        <w:tc>
          <w:tcPr>
            <w:tcW w:type="dxa" w:w="38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8–14 days</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24</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11.9</w:t>
            </w:r>
          </w:p>
        </w:tc>
      </w:tr>
      <w:tr>
        <w:trPr>
          <w:cantSplit/>
        </w:trPr>
        <w:tc>
          <w:tcPr>
            <w:tcW w:type="dxa" w:w="38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15–21 days</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22</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16.4</w:t>
            </w:r>
          </w:p>
        </w:tc>
      </w:tr>
      <w:tr>
        <w:trPr>
          <w:cantSplit/>
        </w:trPr>
        <w:tc>
          <w:tcPr>
            <w:tcW w:type="dxa" w:w="382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22+ days</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24</w:t>
            </w:r>
          </w:p>
        </w:tc>
        <w:tc>
          <w:tcPr>
            <w:tcW w:type="dxa" w:w="277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22.7</w:t>
            </w:r>
          </w:p>
        </w:tc>
      </w:tr>
      <w:tr>
        <w:trPr>
          <w:cantSplit/>
        </w:trPr>
        <w:tc>
          <w:tcPr>
            <w:tcW w:type="dxa" w:w="382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left"/>
            </w:pPr>
            <w:r>
              <w:rPr>
                <w:rFonts w:ascii="Calibri" w:cs="Calibri" w:eastAsia="Calibri" w:hAnsi="Calibri"/>
                <w:b/>
                <w:bCs/>
                <w:color w:val="222222"/>
                <w:sz w:val="19"/>
                <w:szCs w:val="19"/>
              </w:rPr>
              <w:t xml:space="preserve">All bookings</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100</w:t>
            </w:r>
          </w:p>
        </w:tc>
        <w:tc>
          <w:tcPr>
            <w:tcW w:type="dxa" w:w="2770"/>
            <w:tcBorders>
              <w:top w:val="single" w:color="C9CFD8" w:sz="1"/>
              <w:left w:val="single" w:color="C9CFD8" w:sz="1"/>
              <w:bottom w:val="single" w:color="C9CFD8" w:sz="1"/>
              <w:right w:val="single" w:color="C9CFD8" w:sz="1"/>
            </w:tcBorders>
            <w:shd w:fill="F2F4F7" w:val="clear"/>
            <w:tcMar>
              <w:top w:type="dxa" w:w="70"/>
              <w:left w:type="dxa" w:w="110"/>
              <w:bottom w:type="dxa" w:w="70"/>
              <w:right w:type="dxa" w:w="110"/>
            </w:tcMar>
            <w:vAlign w:val="center"/>
          </w:tcPr>
          <w:p>
            <w:pPr>
              <w:spacing w:after="0" w:line="240"/>
              <w:jc w:val="center"/>
            </w:pPr>
            <w:r>
              <w:rPr>
                <w:rFonts w:ascii="Calibri" w:cs="Calibri" w:eastAsia="Calibri" w:hAnsi="Calibri"/>
                <w:b/>
                <w:bCs/>
                <w:color w:val="222222"/>
                <w:sz w:val="19"/>
                <w:szCs w:val="19"/>
              </w:rPr>
              <w:t xml:space="preserve">13.6</w:t>
            </w:r>
          </w:p>
        </w:tc>
      </w:tr>
    </w:tbl>
    <w:p>
      <w:pPr>
        <w:spacing w:after="160" w:line="276"/>
      </w:pPr>
      <w:r>
        <w:rPr>
          <w:rFonts w:ascii="Calibri" w:cs="Calibri" w:eastAsia="Calibri" w:hAnsi="Calibri"/>
          <w:color w:val="222222"/>
          <w:sz w:val="22"/>
          <w:szCs w:val="22"/>
        </w:rPr>
        <w:t xml:space="preserve"/>
      </w:r>
    </w:p>
    <w:p>
      <w:pPr>
        <w:spacing w:after="80" w:before="200"/>
      </w:pPr>
      <w:r>
        <w:rPr>
          <w:rFonts w:ascii="Calibri" w:cs="Calibri" w:eastAsia="Calibri" w:hAnsi="Calibri"/>
          <w:b/>
          <w:bCs/>
          <w:color w:val="1F3A5F"/>
          <w:sz w:val="22"/>
          <w:szCs w:val="22"/>
        </w:rPr>
        <w:t xml:space="preserve">Exhibit 5b. Double-booked slots as a share of all booked slots, by provider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1080"/>
        <w:gridCol w:w="1300"/>
        <w:gridCol w:w="1280"/>
        <w:gridCol w:w="940"/>
        <w:gridCol w:w="1150"/>
        <w:gridCol w:w="1250"/>
      </w:tblGrid>
      <w:tr>
        <w:trPr>
          <w:tblHeader/>
        </w:trPr>
        <w:tc>
          <w:tcPr>
            <w:tcW w:type="dxa" w:w="236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left"/>
            </w:pPr>
            <w:r>
              <w:rPr>
                <w:rFonts w:ascii="Calibri" w:cs="Calibri" w:eastAsia="Calibri" w:hAnsi="Calibri"/>
                <w:b/>
                <w:bCs/>
                <w:color w:val="FFFFFF"/>
                <w:sz w:val="19"/>
                <w:szCs w:val="19"/>
              </w:rPr>
              <w:t xml:space="preserve">Provider</w:t>
            </w:r>
          </w:p>
        </w:tc>
        <w:tc>
          <w:tcPr>
            <w:tcW w:type="dxa" w:w="108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Carter</w:t>
            </w:r>
          </w:p>
        </w:tc>
        <w:tc>
          <w:tcPr>
            <w:tcW w:type="dxa" w:w="130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Natarajan</w:t>
            </w:r>
          </w:p>
        </w:tc>
        <w:tc>
          <w:tcPr>
            <w:tcW w:type="dxa" w:w="128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Whitfield</w:t>
            </w:r>
          </w:p>
        </w:tc>
        <w:tc>
          <w:tcPr>
            <w:tcW w:type="dxa" w:w="94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Ortiz</w:t>
            </w:r>
          </w:p>
        </w:tc>
        <w:tc>
          <w:tcPr>
            <w:tcW w:type="dxa" w:w="115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Chen (NP)</w:t>
            </w:r>
          </w:p>
        </w:tc>
        <w:tc>
          <w:tcPr>
            <w:tcW w:type="dxa" w:w="1250"/>
            <w:tcBorders>
              <w:top w:val="single" w:color="C9CFD8" w:sz="1"/>
              <w:left w:val="single" w:color="C9CFD8" w:sz="1"/>
              <w:bottom w:val="single" w:color="C9CFD8" w:sz="1"/>
              <w:right w:val="single" w:color="C9CFD8" w:sz="1"/>
            </w:tcBorders>
            <w:shd w:fill="1F3A5F" w:val="clear"/>
            <w:tcMar>
              <w:top w:type="dxa" w:w="70"/>
              <w:left w:type="dxa" w:w="110"/>
              <w:bottom w:type="dxa" w:w="70"/>
              <w:right w:type="dxa" w:w="110"/>
            </w:tcMar>
            <w:vAlign w:val="center"/>
          </w:tcPr>
          <w:p>
            <w:pPr>
              <w:spacing w:after="0" w:line="240"/>
              <w:jc w:val="center"/>
            </w:pPr>
            <w:r>
              <w:rPr>
                <w:rFonts w:ascii="Calibri" w:cs="Calibri" w:eastAsia="Calibri" w:hAnsi="Calibri"/>
                <w:b/>
                <w:bCs/>
                <w:color w:val="FFFFFF"/>
                <w:sz w:val="19"/>
                <w:szCs w:val="19"/>
              </w:rPr>
              <w:t xml:space="preserve">Douglas (PA)</w:t>
            </w:r>
          </w:p>
        </w:tc>
      </w:tr>
      <w:tr>
        <w:trPr>
          <w:cantSplit/>
        </w:trPr>
        <w:tc>
          <w:tcPr>
            <w:tcW w:type="dxa" w:w="236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left"/>
            </w:pPr>
            <w:r>
              <w:rPr>
                <w:rFonts w:ascii="Calibri" w:cs="Calibri" w:eastAsia="Calibri" w:hAnsi="Calibri"/>
                <w:b w:val="false"/>
                <w:bCs w:val="false"/>
                <w:color w:val="222222"/>
                <w:sz w:val="19"/>
                <w:szCs w:val="19"/>
              </w:rPr>
              <w:t xml:space="preserve">Double-booked slots (%)</w:t>
            </w:r>
          </w:p>
        </w:tc>
        <w:tc>
          <w:tcPr>
            <w:tcW w:type="dxa" w:w="10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9.4</w:t>
            </w:r>
          </w:p>
        </w:tc>
        <w:tc>
          <w:tcPr>
            <w:tcW w:type="dxa" w:w="130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7.1</w:t>
            </w:r>
          </w:p>
        </w:tc>
        <w:tc>
          <w:tcPr>
            <w:tcW w:type="dxa" w:w="128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6.5</w:t>
            </w:r>
          </w:p>
        </w:tc>
        <w:tc>
          <w:tcPr>
            <w:tcW w:type="dxa" w:w="94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4.2</w:t>
            </w:r>
          </w:p>
        </w:tc>
        <w:tc>
          <w:tcPr>
            <w:tcW w:type="dxa" w:w="11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2.1</w:t>
            </w:r>
          </w:p>
        </w:tc>
        <w:tc>
          <w:tcPr>
            <w:tcW w:type="dxa" w:w="1250"/>
            <w:tcBorders>
              <w:top w:val="single" w:color="C9CFD8" w:sz="1"/>
              <w:left w:val="single" w:color="C9CFD8" w:sz="1"/>
              <w:bottom w:val="single" w:color="C9CFD8" w:sz="1"/>
              <w:right w:val="single" w:color="C9CFD8" w:sz="1"/>
            </w:tcBorders>
            <w:shd w:fill="FFFFFF" w:val="clear"/>
            <w:tcMar>
              <w:top w:type="dxa" w:w="70"/>
              <w:left w:type="dxa" w:w="110"/>
              <w:bottom w:type="dxa" w:w="70"/>
              <w:right w:type="dxa" w:w="110"/>
            </w:tcMar>
            <w:vAlign w:val="center"/>
          </w:tcPr>
          <w:p>
            <w:pPr>
              <w:spacing w:after="0" w:line="240"/>
              <w:jc w:val="center"/>
            </w:pPr>
            <w:r>
              <w:rPr>
                <w:rFonts w:ascii="Calibri" w:cs="Calibri" w:eastAsia="Calibri" w:hAnsi="Calibri"/>
                <w:b w:val="false"/>
                <w:bCs w:val="false"/>
                <w:color w:val="222222"/>
                <w:sz w:val="19"/>
                <w:szCs w:val="19"/>
              </w:rPr>
              <w:t xml:space="preserve">1.8</w:t>
            </w:r>
          </w:p>
        </w:tc>
      </w:tr>
    </w:tbl>
    <w:p>
      <w:pPr>
        <w:spacing w:after="0" w:before="80"/>
      </w:pPr>
      <w:r>
        <w:rPr>
          <w:rFonts w:ascii="Calibri" w:cs="Calibri" w:eastAsia="Calibri" w:hAnsi="Calibri"/>
          <w:color w:val="595959"/>
          <w:sz w:val="18"/>
          <w:szCs w:val="18"/>
        </w:rPr>
        <w:t xml:space="preserve">Double-booking is applied by schedulers, at their discretion, primarily to offset expected no-shows on far-out bookings.</w:t>
      </w:r>
    </w:p>
    <w:p>
      <w:pPr>
        <w:spacing w:after="220" w:before="60"/>
      </w:pPr>
      <w:r>
        <w:rPr>
          <w:rFonts w:ascii="Calibri" w:cs="Calibri" w:eastAsia="Calibri" w:hAnsi="Calibri"/>
          <w:i/>
          <w:iCs/>
          <w:color w:val="595959"/>
          <w:sz w:val="18"/>
          <w:szCs w:val="18"/>
        </w:rPr>
        <w:t xml:space="preserve">Illustrative data — constructed for teaching; not from a real institution.</w:t>
      </w:r>
    </w:p>
    <w:p>
      <w:pPr>
        <w:pStyle w:val="Heading1"/>
        <w:pageBreakBefore/>
        <w:spacing w:after="140" w:before="0"/>
      </w:pPr>
      <w:r>
        <w:rPr>
          <w:rFonts w:ascii="Calibri" w:cs="Calibri" w:eastAsia="Calibri" w:hAnsi="Calibri"/>
          <w:b/>
          <w:bCs/>
          <w:color w:val="1F3A5F"/>
          <w:sz w:val="30"/>
          <w:szCs w:val="30"/>
        </w:rPr>
        <w:t xml:space="preserve">Assignment Questions</w:t>
      </w:r>
    </w:p>
    <w:p>
      <w:pPr>
        <w:spacing w:after="160" w:line="276"/>
      </w:pPr>
      <w:r>
        <w:rPr>
          <w:rFonts w:ascii="Calibri" w:cs="Calibri" w:eastAsia="Calibri" w:hAnsi="Calibri"/>
          <w:color w:val="222222"/>
          <w:sz w:val="22"/>
          <w:szCs w:val="22"/>
        </w:rPr>
        <w:t xml:space="preserve">Work the questions in order; each builds on the last. Where a question asks you to quantify, show your arithmetic and state your assumptions — the exhibits contain everything you need.</w:t>
      </w:r>
    </w:p>
    <w:p>
      <w:pPr>
        <w:pStyle w:val="ListParagraph"/>
        <w:numPr>
          <w:ilvl w:val="0"/>
          <w:numId w:val="2"/>
        </w:numPr>
        <w:spacing w:after="120" w:line="276"/>
      </w:pPr>
      <w:r>
        <w:rPr>
          <w:rFonts w:ascii="Calibri" w:cs="Calibri" w:eastAsia="Calibri" w:hAnsi="Calibri"/>
          <w:b/>
          <w:bCs/>
          <w:color w:val="222222"/>
          <w:sz w:val="22"/>
          <w:szCs w:val="22"/>
        </w:rPr>
        <w:t xml:space="preserve">Diagnose before you prescribe. </w:t>
      </w:r>
      <w:r>
        <w:rPr>
          <w:rFonts w:ascii="Calibri" w:cs="Calibri" w:eastAsia="Calibri" w:hAnsi="Calibri"/>
          <w:color w:val="222222"/>
          <w:sz w:val="22"/>
          <w:szCs w:val="22"/>
        </w:rPr>
        <w:t xml:space="preserve">Every metric on Riverview’s dashboard is green, and the system is failing. Using Law 9 (the Clinic Capacity Illusion), Law 10 (the Measurement Error), and Law 1 (the Invisible Work Law), explain precisely how each headline metric — fill rate, RVU growth, volume — can improve while access, safety, and workforce stability deteriorate. Which single metric is doing the most damage, and why?</w:t>
      </w:r>
    </w:p>
    <w:p>
      <w:pPr>
        <w:pStyle w:val="ListParagraph"/>
        <w:numPr>
          <w:ilvl w:val="0"/>
          <w:numId w:val="2"/>
        </w:numPr>
        <w:spacing w:after="120" w:line="276"/>
      </w:pPr>
      <w:r>
        <w:rPr>
          <w:rFonts w:ascii="Calibri" w:cs="Calibri" w:eastAsia="Calibri" w:hAnsi="Calibri"/>
          <w:b/>
          <w:bCs/>
          <w:color w:val="222222"/>
          <w:sz w:val="22"/>
          <w:szCs w:val="22"/>
        </w:rPr>
        <w:t xml:space="preserve">The shape of the trap. </w:t>
      </w:r>
      <w:r>
        <w:rPr>
          <w:rFonts w:ascii="Calibri" w:cs="Calibri" w:eastAsia="Calibri" w:hAnsi="Calibri"/>
          <w:color w:val="222222"/>
          <w:sz w:val="22"/>
          <w:szCs w:val="22"/>
        </w:rPr>
        <w:t xml:space="preserve">Using Exhibits 1 and 5a, characterize the relationship between schedule fill, third-next-available appointment, and no-shows. Quantify it: what happens to acute TNA as fill rises from 92 to 98 percent, and what fraction of slots booked 22 or more days out is lost to no-shows? Connect the shape of this relationship to Law 2 (the Utilization Paradox).</w:t>
      </w:r>
    </w:p>
    <w:p>
      <w:pPr>
        <w:pStyle w:val="ListParagraph"/>
        <w:numPr>
          <w:ilvl w:val="0"/>
          <w:numId w:val="2"/>
        </w:numPr>
        <w:spacing w:after="120" w:line="276"/>
      </w:pPr>
      <w:r>
        <w:rPr>
          <w:rFonts w:ascii="Calibri" w:cs="Calibri" w:eastAsia="Calibri" w:hAnsi="Calibri"/>
          <w:b/>
          <w:bCs/>
          <w:color w:val="222222"/>
          <w:sz w:val="22"/>
          <w:szCs w:val="22"/>
        </w:rPr>
        <w:t xml:space="preserve">Count the hidden capacity. </w:t>
      </w:r>
      <w:r>
        <w:rPr>
          <w:rFonts w:ascii="Calibri" w:cs="Calibri" w:eastAsia="Calibri" w:hAnsi="Calibri"/>
          <w:color w:val="222222"/>
          <w:sz w:val="22"/>
          <w:szCs w:val="22"/>
        </w:rPr>
        <w:t xml:space="preserve">Using Exhibit 2, estimate the share of physician slots that could be reclaimed without hiring anyone. State your assumptions for each visit category. Translate your estimate into same-day slots per physician per day, and compare it with the clinic’s measured same-day demand (31 requests per weekday, 9 met).</w:t>
      </w:r>
    </w:p>
    <w:p>
      <w:pPr>
        <w:pStyle w:val="ListParagraph"/>
        <w:numPr>
          <w:ilvl w:val="0"/>
          <w:numId w:val="2"/>
        </w:numPr>
        <w:spacing w:after="120" w:line="276"/>
      </w:pPr>
      <w:r>
        <w:rPr>
          <w:rFonts w:ascii="Calibri" w:cs="Calibri" w:eastAsia="Calibri" w:hAnsi="Calibri"/>
          <w:b/>
          <w:bCs/>
          <w:color w:val="222222"/>
          <w:sz w:val="22"/>
          <w:szCs w:val="22"/>
        </w:rPr>
        <w:t xml:space="preserve">Price the overflow. </w:t>
      </w:r>
      <w:r>
        <w:rPr>
          <w:rFonts w:ascii="Calibri" w:cs="Calibri" w:eastAsia="Calibri" w:hAnsi="Calibri"/>
          <w:color w:val="222222"/>
          <w:sz w:val="22"/>
          <w:szCs w:val="22"/>
        </w:rPr>
        <w:t xml:space="preserve">Using Exhibit 4, estimate the annualized billed charges for care displaced from the clinic to the emergency department, and describe the trend. Then explain why billed charges overstate the true economic cost of that care, and propose one better proxy — allowed amounts, the cost of avoidable visits, or total boarding hours. Who bears these costs — and why does none of this appear on the ambulatory dashboard that the board reads (Law 10)?</w:t>
      </w:r>
      <w:r>
        <w:t xml:space="preserve"> This figure is not savings; it is a boundary-crossing cost signal. Estimating savings would require allowed amounts and incremental-cost assumptions.</w:t>
      </w:r>
    </w:p>
    <w:p>
      <w:pPr>
        <w:pStyle w:val="ListParagraph"/>
        <w:numPr>
          <w:ilvl w:val="0"/>
          <w:numId w:val="2"/>
        </w:numPr>
        <w:spacing w:after="120" w:line="276"/>
      </w:pPr>
      <w:r>
        <w:rPr>
          <w:rFonts w:ascii="Calibri" w:cs="Calibri" w:eastAsia="Calibri" w:hAnsi="Calibri"/>
          <w:b/>
          <w:bCs/>
          <w:color w:val="222222"/>
          <w:sz w:val="22"/>
          <w:szCs w:val="22"/>
        </w:rPr>
        <w:t xml:space="preserve">The strongest physician. </w:t>
      </w:r>
      <w:r>
        <w:rPr>
          <w:rFonts w:ascii="Calibri" w:cs="Calibri" w:eastAsia="Calibri" w:hAnsi="Calibri"/>
          <w:color w:val="222222"/>
          <w:sz w:val="22"/>
          <w:szCs w:val="22"/>
        </w:rPr>
        <w:t xml:space="preserve">Is Dr. Carter the network’s best performer or its most exposed failure point? Use Exhibit 3 and Law 1 to defend your answer, and explain what her role as the clinic’s "linchpin" implies for the redesign: what breaks at Eastgate if she reduces her hours or leaves?</w:t>
      </w:r>
    </w:p>
    <w:p>
      <w:pPr>
        <w:pStyle w:val="ListParagraph"/>
        <w:numPr>
          <w:ilvl w:val="0"/>
          <w:numId w:val="2"/>
        </w:numPr>
        <w:spacing w:after="120" w:line="276"/>
      </w:pPr>
      <w:r>
        <w:rPr>
          <w:rFonts w:ascii="Calibri" w:cs="Calibri" w:eastAsia="Calibri" w:hAnsi="Calibri"/>
          <w:b/>
          <w:bCs/>
          <w:color w:val="222222"/>
          <w:sz w:val="22"/>
          <w:szCs w:val="22"/>
        </w:rPr>
        <w:t xml:space="preserve">Design the fix. </w:t>
      </w:r>
      <w:r>
        <w:rPr>
          <w:rFonts w:ascii="Calibri" w:cs="Calibri" w:eastAsia="Calibri" w:hAnsi="Calibri"/>
          <w:color w:val="222222"/>
          <w:sz w:val="22"/>
          <w:szCs w:val="22"/>
        </w:rPr>
        <w:t xml:space="preserve">Draft the redesign Reyes should propose: (a) a one-time backlog burn, (b) a protected same-day buffer, and (c) a team built around the linchpin rather than through her. Size the buffer from this clinic’s own data in the exhibits and narrative — and explain why importing a fixed buffer percentage from a benchmark or another clinic would be an error (Law 11).</w:t>
      </w:r>
    </w:p>
    <w:p>
      <w:pPr>
        <w:pStyle w:val="ListParagraph"/>
        <w:numPr>
          <w:ilvl w:val="0"/>
          <w:numId w:val="2"/>
        </w:numPr>
        <w:spacing w:after="120" w:line="276"/>
      </w:pPr>
      <w:r>
        <w:rPr>
          <w:rFonts w:ascii="Calibri" w:cs="Calibri" w:eastAsia="Calibri" w:hAnsi="Calibri"/>
          <w:b/>
          <w:bCs/>
          <w:color w:val="222222"/>
          <w:sz w:val="22"/>
          <w:szCs w:val="22"/>
        </w:rPr>
        <w:t xml:space="preserve">Anticipate the antibody. </w:t>
      </w:r>
      <w:r>
        <w:rPr>
          <w:rFonts w:ascii="Calibri" w:cs="Calibri" w:eastAsia="Calibri" w:hAnsi="Calibri"/>
          <w:color w:val="222222"/>
          <w:sz w:val="22"/>
          <w:szCs w:val="22"/>
        </w:rPr>
        <w:t xml:space="preserve">Assume the committee approves the redesign. Identify the three organizational responses most likely to kill it within a year — consider what finance does when it sees open slots, what happens to RVU reports during the backlog burn, and how a pilot gets diluted — and specify a concrete countermeasure for each, including the metrics Reyes should get the committee to pre-commit to.</w:t>
      </w:r>
    </w:p>
    <w:p>
      <w:pPr>
        <w:pStyle w:val="ListParagraph"/>
        <w:numPr>
          <w:ilvl w:val="0"/>
          <w:numId w:val="2"/>
        </w:numPr>
        <w:spacing w:after="120" w:line="276"/>
      </w:pPr>
      <w:r>
        <w:rPr>
          <w:rFonts w:ascii="Calibri" w:cs="Calibri" w:eastAsia="Calibri" w:hAnsi="Calibri"/>
          <w:b/>
          <w:bCs/>
          <w:color w:val="222222"/>
          <w:sz w:val="22"/>
          <w:szCs w:val="22"/>
        </w:rPr>
        <w:t xml:space="preserve">The first two minutes. </w:t>
      </w:r>
      <w:r>
        <w:rPr>
          <w:rFonts w:ascii="Calibri" w:cs="Calibri" w:eastAsia="Calibri" w:hAnsi="Calibri"/>
          <w:color w:val="222222"/>
          <w:sz w:val="22"/>
          <w:szCs w:val="22"/>
        </w:rPr>
        <w:t xml:space="preserve">Write the opening of Reyes’s Monday presentation: the single exhibit (or single number) you would put on the screen first, and the one or two sentences that reframe the board’s 95 percent utilization target before the CFO asks, "You want to fix an access problem by scheduling fewer patients?"</w:t>
      </w:r>
    </w:p>
    <w:p>
      <w:pPr>
        <w:spacing w:after="160" w:line="276"/>
      </w:pPr>
      <w:r>
        <w:rPr>
          <w:rFonts w:ascii="Calibri" w:cs="Calibri" w:eastAsia="Calibri" w:hAnsi="Calibri"/>
          <w:color w:val="222222"/>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single" w:color="C9CFD8" w:sz="1"/>
              <w:left w:val="single" w:color="2C7A7B" w:sz="18"/>
              <w:bottom w:val="single" w:color="C9CFD8" w:sz="1"/>
              <w:right w:val="single" w:color="C9CFD8" w:sz="1"/>
            </w:tcBorders>
            <w:shd w:fill="E7F1F1" w:val="clear"/>
            <w:tcMar>
              <w:top w:type="dxa" w:w="140"/>
              <w:left w:type="dxa" w:w="200"/>
              <w:bottom w:type="dxa" w:w="140"/>
              <w:right w:type="dxa" w:w="200"/>
            </w:tcMar>
          </w:tcPr>
          <w:p>
            <w:pPr>
              <w:spacing w:after="0" w:line="276"/>
            </w:pPr>
            <w:r>
              <w:rPr>
                <w:rFonts w:ascii="Calibri" w:cs="Calibri" w:eastAsia="Calibri" w:hAnsi="Calibri"/>
                <w:b/>
                <w:bCs/>
                <w:color w:val="222222"/>
                <w:sz w:val="22"/>
                <w:szCs w:val="22"/>
              </w:rPr>
              <w:t xml:space="preserve">Pair with the book. </w:t>
            </w:r>
            <w:r>
              <w:rPr>
                <w:rFonts w:ascii="Calibri" w:cs="Calibri" w:eastAsia="Calibri" w:hAnsi="Calibri"/>
                <w:color w:val="222222"/>
                <w:sz w:val="22"/>
                <w:szCs w:val="22"/>
              </w:rPr>
              <w:t xml:space="preserve">This case is designed to be taught alongside Chapters 9–12 of </w:t>
            </w:r>
            <w:r>
              <w:rPr>
                <w:rFonts w:ascii="Calibri" w:cs="Calibri" w:eastAsia="Calibri" w:hAnsi="Calibri"/>
                <w:i/>
                <w:iCs/>
                <w:color w:val="222222"/>
                <w:sz w:val="22"/>
                <w:szCs w:val="22"/>
              </w:rPr>
              <w:t xml:space="preserve">The 12 Laws of Healthcare Operations</w:t>
            </w:r>
            <w:r>
              <w:rPr>
                <w:rFonts w:ascii="Calibri" w:cs="Calibri" w:eastAsia="Calibri" w:hAnsi="Calibri"/>
                <w:color w:val="222222"/>
                <w:sz w:val="22"/>
                <w:szCs w:val="22"/>
              </w:rPr>
              <w:t xml:space="preserve"> (Laws 9–12) and Chapter 15 (the Organizational Antibody). Instructors: a full Teaching Note with model answers, two session plans, and an evidence-aligned epilogue accompanies this case in the Classroom &amp; Policy Kit.</w:t>
            </w:r>
          </w:p>
        </w:tc>
      </w:tr>
    </w:tbl>
    <w:sectPr>
      <w:footerReference w:type="default" r:id="rId7"/>
      <w:pgSz w:w="12240" w:h="15840" w:orient="portrait"/>
      <w:pgMar w:top="1080" w:right="1260" w:bottom="11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FD8" w:sz="4" w:space="4"/>
      </w:pBdr>
      <w:spacing w:after="40"/>
      <w:jc w:val="center"/>
    </w:pPr>
    <w:r>
      <w:rPr>
        <w:rFonts w:ascii="Calibri" w:cs="Calibri" w:eastAsia="Calibri" w:hAnsi="Calibri"/>
        <w:color w:val="595959"/>
        <w:sz w:val="14"/>
        <w:szCs w:val="14"/>
      </w:rPr>
      <w:t xml:space="preserve">The Flow Architect Toolkit · The 12 Laws of Healthcare Operations · © 2026 Shane Welter · shanewelter.com · Free companion tool — share within your organization; not for resale.</w:t>
    </w:r>
  </w:p>
  <w:p>
    <w:pPr>
      <w:spacing w:after="0"/>
      <w:jc w:val="center"/>
    </w:pPr>
    <w:r>
      <w:rPr>
        <w:rFonts w:ascii="Calibri" w:cs="Calibri" w:eastAsia="Calibri" w:hAnsi="Calibri"/>
        <w:color w:val="595959"/>
        <w:sz w:val="14"/>
        <w:szCs w:val="14"/>
      </w:rPr>
      <w:t xml:space="preserve">Page </w:t>
    </w:r>
    <w:r>
      <w:rPr>
        <w:rFonts w:ascii="Calibri" w:cs="Calibri" w:eastAsia="Calibri" w:hAnsi="Calibri"/>
        <w:color w:val="59595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lvl w:ilvl="1" w15:tentative="1">
      <w:start w:val="1"/>
      <w:numFmt w:val="bullet"/>
      <w:lvlText w:val="–"/>
      <w:lvlJc w:val="left"/>
      <w:pPr>
        <w:ind w:left="1000" w:hanging="260"/>
      </w:pPr>
    </w:lvl>
  </w:abstractNum>
  <w:abstractNum w:abstractNumId="3" w15:restartNumberingAfterBreak="0">
    <w:multiLevelType w:val="hybridMultilevel"/>
    <w:lvl w:ilvl="0" w15:tentative="1">
      <w:start w:val="1"/>
      <w:numFmt w:val="decimal"/>
      <w:lvlText w:val="%1."/>
      <w:lvlJc w:val="left"/>
      <w:pPr>
        <w:ind w:left="500" w:hanging="38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00"/>
      <w:outlineLvl w:val="0"/>
    </w:pPr>
    <w:rPr>
      <w:rFonts w:ascii="Calibri" w:cs="Calibri" w:eastAsia="Calibri" w:hAnsi="Calibri"/>
      <w:b/>
      <w:bCs/>
      <w:color w:val="1F3A5F"/>
      <w:sz w:val="30"/>
      <w:szCs w:val="30"/>
    </w:rPr>
  </w:style>
  <w:style w:type="paragraph" w:styleId="Heading2">
    <w:name w:val="Heading 2"/>
    <w:basedOn w:val="Normal"/>
    <w:next w:val="Normal"/>
    <w:qFormat/>
    <w:pPr>
      <w:spacing w:after="100" w:before="220"/>
      <w:outlineLvl w:val="1"/>
    </w:pPr>
    <w:rPr>
      <w:rFonts w:ascii="Calibri" w:cs="Calibri" w:eastAsia="Calibri" w:hAnsi="Calibri"/>
      <w:b/>
      <w:bCs/>
      <w:color w:val="2C7A7B"/>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Welter</dc:creator>
  <cp:lastModifiedBy>Un-named</cp:lastModifiedBy>
  <cp:revision>1</cp:revision>
  <dcterms:created xsi:type="dcterms:W3CDTF">2026-07-04T12:42:30.400Z</dcterms:created>
  <dcterms:modified xsi:type="dcterms:W3CDTF">2026-07-04T12:42:30.400Z</dcterms:modified>
</cp:coreProperties>
</file>

<file path=docProps/custom.xml><?xml version="1.0" encoding="utf-8"?>
<Properties xmlns="http://schemas.openxmlformats.org/officeDocument/2006/custom-properties" xmlns:vt="http://schemas.openxmlformats.org/officeDocument/2006/docPropsVTypes"/>
</file>